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80" w:lineRule="exact"/>
        <w:jc w:val="left"/>
        <w:rPr>
          <w:rFonts w:ascii="方正小标宋简体" w:hAnsi="黑体" w:eastAsia="方正小标宋简体" w:cs="Times New Roman"/>
          <w:sz w:val="30"/>
          <w:szCs w:val="30"/>
        </w:rPr>
      </w:pPr>
      <w:r>
        <w:rPr>
          <w:rFonts w:hint="eastAsia" w:ascii="方正小标宋简体" w:hAnsi="黑体" w:eastAsia="方正小标宋简体" w:cs="Times New Roman"/>
          <w:sz w:val="30"/>
          <w:szCs w:val="30"/>
        </w:rPr>
        <w:t>附件</w:t>
      </w:r>
    </w:p>
    <w:p>
      <w:pPr>
        <w:spacing w:after="312" w:afterLines="100" w:line="480" w:lineRule="exact"/>
        <w:jc w:val="center"/>
        <w:rPr>
          <w:rFonts w:ascii="方正小标宋简体" w:hAnsi="黑体" w:eastAsia="方正小标宋简体" w:cs="Times New Roman"/>
          <w:sz w:val="32"/>
          <w:szCs w:val="32"/>
        </w:rPr>
      </w:pPr>
      <w:r>
        <w:rPr>
          <w:rFonts w:hint="eastAsia" w:ascii="方正小标宋简体" w:hAnsi="黑体" w:eastAsia="方正小标宋简体" w:cs="Times New Roman"/>
          <w:sz w:val="32"/>
          <w:szCs w:val="32"/>
        </w:rPr>
        <w:t>北京工商大学硕士研究生招生复试录取工作自查表</w:t>
      </w:r>
    </w:p>
    <w:p>
      <w:pPr>
        <w:spacing w:before="156" w:beforeLines="50"/>
        <w:rPr>
          <w:rFonts w:ascii="方正小标宋简体" w:hAnsi="黑体" w:eastAsia="方正小标宋简体" w:cs="Times New Roman"/>
          <w:sz w:val="32"/>
          <w:szCs w:val="32"/>
        </w:rPr>
      </w:pPr>
      <w:r>
        <w:rPr>
          <w:rFonts w:hint="eastAsia" w:ascii="楷体" w:hAnsi="楷体" w:eastAsia="楷体" w:cs="Times New Roman"/>
          <w:sz w:val="24"/>
        </w:rPr>
        <w:t>招生学院：                      （学院公章）                院长：                （签字）</w:t>
      </w:r>
    </w:p>
    <w:tbl>
      <w:tblPr>
        <w:tblStyle w:val="3"/>
        <w:tblW w:w="14317"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9336"/>
        <w:gridCol w:w="686"/>
        <w:gridCol w:w="68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blHeader/>
        </w:trPr>
        <w:tc>
          <w:tcPr>
            <w:tcW w:w="10393" w:type="dxa"/>
            <w:gridSpan w:val="2"/>
            <w:vMerge w:val="restart"/>
            <w:shd w:val="clear" w:color="auto" w:fill="auto"/>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主要自查项目</w:t>
            </w:r>
          </w:p>
        </w:tc>
        <w:tc>
          <w:tcPr>
            <w:tcW w:w="1372" w:type="dxa"/>
            <w:gridSpan w:val="2"/>
            <w:shd w:val="clear" w:color="auto" w:fill="auto"/>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执行情况</w:t>
            </w:r>
          </w:p>
        </w:tc>
        <w:tc>
          <w:tcPr>
            <w:tcW w:w="2552" w:type="dxa"/>
            <w:vMerge w:val="restart"/>
          </w:tcPr>
          <w:p>
            <w:pPr>
              <w:widowControl/>
              <w:jc w:val="center"/>
              <w:rPr>
                <w:rFonts w:ascii="仿宋_GB2312" w:hAnsi="宋体" w:eastAsia="仿宋_GB2312" w:cs="宋体"/>
                <w:b/>
                <w:bCs/>
                <w:color w:val="000000"/>
                <w:kern w:val="0"/>
                <w:sz w:val="28"/>
              </w:rPr>
            </w:pPr>
            <w:r>
              <w:rPr>
                <w:rFonts w:hint="eastAsia" w:ascii="仿宋_GB2312" w:hAnsi="宋体" w:eastAsia="仿宋_GB2312" w:cs="宋体"/>
                <w:b/>
                <w:bCs/>
                <w:color w:val="000000"/>
                <w:kern w:val="0"/>
                <w:sz w:val="28"/>
              </w:rPr>
              <w:t>简要描述</w:t>
            </w:r>
          </w:p>
          <w:p>
            <w:pPr>
              <w:widowControl/>
              <w:spacing w:line="280" w:lineRule="exact"/>
              <w:rPr>
                <w:rFonts w:ascii="仿宋_GB2312" w:hAnsi="宋体" w:eastAsia="仿宋_GB2312" w:cs="宋体"/>
                <w:b/>
                <w:bCs/>
                <w:color w:val="000000"/>
                <w:kern w:val="0"/>
                <w:sz w:val="28"/>
                <w:szCs w:val="28"/>
              </w:rPr>
            </w:pPr>
            <w:r>
              <w:rPr>
                <w:rFonts w:hint="eastAsia" w:ascii="仿宋_GB2312" w:hAnsi="宋体" w:eastAsia="仿宋_GB2312" w:cs="宋体"/>
                <w:color w:val="000000"/>
                <w:kern w:val="0"/>
                <w:sz w:val="22"/>
                <w:szCs w:val="20"/>
              </w:rPr>
              <w:t>（写明文件名称、会议纪要、发布网址、主要内容等，所有相关文件备查）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Header/>
        </w:trPr>
        <w:tc>
          <w:tcPr>
            <w:tcW w:w="10393" w:type="dxa"/>
            <w:gridSpan w:val="2"/>
            <w:vMerge w:val="continue"/>
            <w:shd w:val="clear" w:color="auto" w:fill="auto"/>
            <w:noWrap/>
            <w:vAlign w:val="center"/>
          </w:tcPr>
          <w:p>
            <w:pPr>
              <w:widowControl/>
              <w:rPr>
                <w:rFonts w:ascii="仿宋_GB2312" w:hAnsi="宋体" w:eastAsia="仿宋_GB2312" w:cs="宋体"/>
                <w:b/>
                <w:bCs/>
                <w:color w:val="000000"/>
                <w:kern w:val="0"/>
                <w:sz w:val="28"/>
                <w:szCs w:val="28"/>
              </w:rPr>
            </w:pPr>
          </w:p>
        </w:tc>
        <w:tc>
          <w:tcPr>
            <w:tcW w:w="686" w:type="dxa"/>
            <w:shd w:val="clear" w:color="auto" w:fill="auto"/>
            <w:noWrap/>
            <w:vAlign w:val="center"/>
          </w:tcPr>
          <w:p>
            <w:pPr>
              <w:jc w:val="center"/>
              <w:rPr>
                <w:rFonts w:ascii="仿宋_GB2312" w:hAnsi="Calibri" w:eastAsia="仿宋_GB2312" w:cs="Times New Roman"/>
                <w:sz w:val="22"/>
              </w:rPr>
            </w:pPr>
            <w:r>
              <w:rPr>
                <w:rFonts w:hint="eastAsia" w:ascii="仿宋_GB2312" w:hAnsi="Calibri" w:eastAsia="仿宋_GB2312" w:cs="Times New Roman"/>
                <w:sz w:val="22"/>
              </w:rPr>
              <w:t>是</w:t>
            </w:r>
          </w:p>
        </w:tc>
        <w:tc>
          <w:tcPr>
            <w:tcW w:w="686" w:type="dxa"/>
            <w:shd w:val="clear" w:color="auto" w:fill="auto"/>
            <w:vAlign w:val="center"/>
          </w:tcPr>
          <w:p>
            <w:pPr>
              <w:jc w:val="center"/>
              <w:rPr>
                <w:rFonts w:ascii="仿宋_GB2312" w:hAnsi="Calibri" w:eastAsia="仿宋_GB2312" w:cs="Times New Roman"/>
                <w:sz w:val="22"/>
              </w:rPr>
            </w:pPr>
            <w:r>
              <w:rPr>
                <w:rFonts w:hint="eastAsia" w:ascii="仿宋_GB2312" w:hAnsi="Calibri" w:eastAsia="仿宋_GB2312" w:cs="Times New Roman"/>
                <w:sz w:val="22"/>
              </w:rPr>
              <w:t>否</w:t>
            </w:r>
          </w:p>
        </w:tc>
        <w:tc>
          <w:tcPr>
            <w:tcW w:w="2552" w:type="dxa"/>
            <w:vMerge w:val="continue"/>
          </w:tcPr>
          <w:p>
            <w:pPr>
              <w:widowControl/>
              <w:rPr>
                <w:rFonts w:ascii="仿宋_GB2312" w:hAnsi="宋体" w:eastAsia="仿宋_GB2312"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057" w:type="dxa"/>
            <w:vMerge w:val="restart"/>
            <w:shd w:val="clear" w:color="auto" w:fill="auto"/>
            <w:noWrap/>
            <w:vAlign w:val="center"/>
          </w:tcPr>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（一）</w:t>
            </w:r>
          </w:p>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组织</w:t>
            </w:r>
          </w:p>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管理</w:t>
            </w:r>
          </w:p>
        </w:tc>
        <w:tc>
          <w:tcPr>
            <w:tcW w:w="9336" w:type="dxa"/>
            <w:shd w:val="clear" w:color="auto" w:fill="auto"/>
            <w:vAlign w:val="center"/>
          </w:tcPr>
          <w:p>
            <w:pPr>
              <w:widowControl/>
              <w:numPr>
                <w:ilvl w:val="0"/>
                <w:numId w:val="1"/>
              </w:numPr>
              <w:ind w:left="0" w:firstLine="0"/>
              <w:rPr>
                <w:rFonts w:ascii="仿宋_GB2312" w:hAnsi="宋体" w:eastAsia="仿宋_GB2312" w:cs="宋体"/>
                <w:kern w:val="0"/>
                <w:sz w:val="24"/>
              </w:rPr>
            </w:pPr>
            <w:r>
              <w:rPr>
                <w:rFonts w:hint="eastAsia" w:ascii="仿宋_GB2312" w:hAnsi="宋体" w:eastAsia="仿宋_GB2312" w:cs="宋体"/>
                <w:kern w:val="0"/>
                <w:sz w:val="24"/>
              </w:rPr>
              <w:t>成立由院长牵头组成，纪检委员参与</w:t>
            </w:r>
            <w:r>
              <w:rPr>
                <w:rFonts w:ascii="仿宋_GB2312" w:hAnsi="宋体" w:eastAsia="仿宋_GB2312" w:cs="宋体"/>
                <w:kern w:val="0"/>
                <w:sz w:val="24"/>
              </w:rPr>
              <w:t>，</w:t>
            </w:r>
            <w:r>
              <w:rPr>
                <w:rFonts w:hint="eastAsia" w:ascii="仿宋_GB2312" w:hAnsi="宋体" w:eastAsia="仿宋_GB2312" w:cs="宋体"/>
                <w:kern w:val="0"/>
                <w:sz w:val="24"/>
              </w:rPr>
              <w:t>原则上人数不少于5人且为奇数的硕士研究生招生工作领导小组，实行集体决策，全面履行主体责任，统筹做好疫情防控和复试录取工作。</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57" w:type="dxa"/>
            <w:vMerge w:val="continue"/>
            <w:shd w:val="clear" w:color="auto" w:fill="auto"/>
            <w:noWrap/>
            <w:vAlign w:val="center"/>
          </w:tcPr>
          <w:p>
            <w:pPr>
              <w:widowControl/>
              <w:spacing w:line="440" w:lineRule="exact"/>
              <w:rPr>
                <w:rFonts w:ascii="仿宋_GB2312" w:hAnsi="宋体" w:eastAsia="仿宋_GB2312" w:cs="宋体"/>
                <w:b/>
                <w:bCs/>
                <w:color w:val="000000"/>
                <w:kern w:val="0"/>
                <w:sz w:val="28"/>
                <w:szCs w:val="28"/>
              </w:rPr>
            </w:pPr>
          </w:p>
        </w:tc>
        <w:tc>
          <w:tcPr>
            <w:tcW w:w="9336" w:type="dxa"/>
            <w:shd w:val="clear" w:color="auto" w:fill="auto"/>
            <w:vAlign w:val="center"/>
          </w:tcPr>
          <w:p>
            <w:pPr>
              <w:widowControl/>
              <w:numPr>
                <w:ilvl w:val="0"/>
                <w:numId w:val="1"/>
              </w:numPr>
              <w:ind w:left="0" w:firstLine="0"/>
              <w:rPr>
                <w:rFonts w:ascii="仿宋_GB2312" w:hAnsi="宋体" w:eastAsia="仿宋_GB2312" w:cs="宋体"/>
                <w:kern w:val="0"/>
                <w:sz w:val="24"/>
              </w:rPr>
            </w:pPr>
            <w:r>
              <w:rPr>
                <w:rFonts w:hint="eastAsia" w:ascii="仿宋_GB2312" w:hAnsi="宋体" w:eastAsia="仿宋_GB2312" w:cs="宋体"/>
                <w:kern w:val="0"/>
                <w:sz w:val="24"/>
              </w:rPr>
              <w:t>制定研究生招生复试录取实施</w:t>
            </w:r>
            <w:r>
              <w:rPr>
                <w:rFonts w:ascii="仿宋_GB2312" w:hAnsi="宋体" w:eastAsia="仿宋_GB2312" w:cs="宋体"/>
                <w:kern w:val="0"/>
                <w:sz w:val="24"/>
              </w:rPr>
              <w:t>细则</w:t>
            </w:r>
            <w:r>
              <w:rPr>
                <w:rFonts w:hint="eastAsia" w:ascii="仿宋_GB2312" w:hAnsi="宋体" w:eastAsia="仿宋_GB2312" w:cs="宋体"/>
                <w:kern w:val="0"/>
                <w:sz w:val="24"/>
              </w:rPr>
              <w:t>，并按时上报。</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57" w:type="dxa"/>
            <w:vMerge w:val="continue"/>
            <w:shd w:val="clear" w:color="auto" w:fill="auto"/>
            <w:noWrap/>
            <w:vAlign w:val="center"/>
          </w:tcPr>
          <w:p>
            <w:pPr>
              <w:widowControl/>
              <w:spacing w:line="440" w:lineRule="exact"/>
              <w:rPr>
                <w:rFonts w:ascii="仿宋_GB2312" w:hAnsi="宋体" w:eastAsia="仿宋_GB2312" w:cs="宋体"/>
                <w:b/>
                <w:bCs/>
                <w:color w:val="000000"/>
                <w:kern w:val="0"/>
                <w:sz w:val="28"/>
                <w:szCs w:val="28"/>
              </w:rPr>
            </w:pPr>
          </w:p>
        </w:tc>
        <w:tc>
          <w:tcPr>
            <w:tcW w:w="9336" w:type="dxa"/>
            <w:shd w:val="clear" w:color="auto" w:fill="auto"/>
            <w:vAlign w:val="center"/>
          </w:tcPr>
          <w:p>
            <w:pPr>
              <w:widowControl/>
              <w:numPr>
                <w:ilvl w:val="0"/>
                <w:numId w:val="1"/>
              </w:numPr>
              <w:ind w:left="0" w:firstLine="0"/>
              <w:rPr>
                <w:rFonts w:ascii="仿宋_GB2312" w:hAnsi="宋体" w:eastAsia="仿宋_GB2312" w:cs="宋体"/>
                <w:kern w:val="0"/>
                <w:sz w:val="24"/>
              </w:rPr>
            </w:pPr>
            <w:r>
              <w:rPr>
                <w:rFonts w:hint="eastAsia" w:ascii="仿宋_GB2312" w:hAnsi="宋体" w:eastAsia="仿宋_GB2312" w:cs="宋体"/>
                <w:kern w:val="0"/>
                <w:sz w:val="24"/>
              </w:rPr>
              <w:t>按学科（专业）成立复试小组。</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57" w:type="dxa"/>
            <w:vMerge w:val="continue"/>
            <w:shd w:val="clear" w:color="auto" w:fill="auto"/>
            <w:noWrap/>
            <w:vAlign w:val="center"/>
          </w:tcPr>
          <w:p>
            <w:pPr>
              <w:widowControl/>
              <w:spacing w:line="440" w:lineRule="exact"/>
              <w:rPr>
                <w:rFonts w:ascii="仿宋_GB2312" w:hAnsi="宋体" w:eastAsia="仿宋_GB2312" w:cs="宋体"/>
                <w:b/>
                <w:bCs/>
                <w:color w:val="000000"/>
                <w:kern w:val="0"/>
                <w:sz w:val="28"/>
                <w:szCs w:val="28"/>
              </w:rPr>
            </w:pPr>
          </w:p>
        </w:tc>
        <w:tc>
          <w:tcPr>
            <w:tcW w:w="9336" w:type="dxa"/>
            <w:shd w:val="clear" w:color="auto" w:fill="auto"/>
            <w:vAlign w:val="center"/>
          </w:tcPr>
          <w:p>
            <w:pPr>
              <w:widowControl/>
              <w:numPr>
                <w:ilvl w:val="0"/>
                <w:numId w:val="1"/>
              </w:numPr>
              <w:ind w:left="0" w:firstLine="0"/>
              <w:rPr>
                <w:rFonts w:ascii="仿宋_GB2312" w:hAnsi="宋体" w:eastAsia="仿宋_GB2312" w:cs="宋体"/>
                <w:kern w:val="0"/>
                <w:sz w:val="24"/>
              </w:rPr>
            </w:pPr>
            <w:r>
              <w:rPr>
                <w:rFonts w:hint="eastAsia" w:ascii="仿宋_GB2312" w:hAnsi="宋体" w:eastAsia="仿宋_GB2312" w:cs="宋体"/>
                <w:kern w:val="0"/>
                <w:sz w:val="24"/>
              </w:rPr>
              <w:t>制定复试工作人员遴选、培训办法和行为规范。</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57" w:type="dxa"/>
            <w:vMerge w:val="continue"/>
            <w:shd w:val="clear" w:color="auto" w:fill="auto"/>
            <w:noWrap/>
            <w:vAlign w:val="center"/>
          </w:tcPr>
          <w:p>
            <w:pPr>
              <w:widowControl/>
              <w:spacing w:line="440" w:lineRule="exact"/>
              <w:rPr>
                <w:rFonts w:ascii="仿宋_GB2312" w:hAnsi="宋体" w:eastAsia="仿宋_GB2312" w:cs="宋体"/>
                <w:b/>
                <w:bCs/>
                <w:color w:val="000000"/>
                <w:kern w:val="0"/>
                <w:sz w:val="28"/>
                <w:szCs w:val="28"/>
              </w:rPr>
            </w:pPr>
          </w:p>
        </w:tc>
        <w:tc>
          <w:tcPr>
            <w:tcW w:w="9336" w:type="dxa"/>
            <w:shd w:val="clear" w:color="auto" w:fill="auto"/>
            <w:vAlign w:val="center"/>
          </w:tcPr>
          <w:p>
            <w:pPr>
              <w:widowControl/>
              <w:numPr>
                <w:ilvl w:val="0"/>
                <w:numId w:val="1"/>
              </w:numPr>
              <w:ind w:left="0" w:firstLine="0"/>
              <w:rPr>
                <w:rFonts w:ascii="仿宋_GB2312" w:hAnsi="宋体" w:eastAsia="仿宋_GB2312" w:cs="宋体"/>
                <w:kern w:val="0"/>
                <w:sz w:val="24"/>
              </w:rPr>
            </w:pPr>
            <w:r>
              <w:rPr>
                <w:rFonts w:hint="eastAsia" w:ascii="仿宋_GB2312" w:hAnsi="宋体" w:eastAsia="仿宋_GB2312" w:cs="宋体"/>
                <w:kern w:val="0"/>
                <w:sz w:val="24"/>
              </w:rPr>
              <w:t>健全复试小组集体决策和监督机制，实行复议制。</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57" w:type="dxa"/>
            <w:vMerge w:val="continue"/>
            <w:shd w:val="clear" w:color="auto" w:fill="auto"/>
            <w:noWrap/>
            <w:vAlign w:val="center"/>
          </w:tcPr>
          <w:p>
            <w:pPr>
              <w:widowControl/>
              <w:spacing w:line="440" w:lineRule="exact"/>
              <w:rPr>
                <w:rFonts w:ascii="仿宋_GB2312" w:hAnsi="宋体" w:eastAsia="仿宋_GB2312" w:cs="宋体"/>
                <w:b/>
                <w:bCs/>
                <w:color w:val="000000"/>
                <w:kern w:val="0"/>
                <w:sz w:val="28"/>
                <w:szCs w:val="28"/>
              </w:rPr>
            </w:pPr>
          </w:p>
        </w:tc>
        <w:tc>
          <w:tcPr>
            <w:tcW w:w="9336" w:type="dxa"/>
            <w:shd w:val="clear" w:color="auto" w:fill="auto"/>
            <w:vAlign w:val="center"/>
          </w:tcPr>
          <w:p>
            <w:pPr>
              <w:widowControl/>
              <w:numPr>
                <w:ilvl w:val="0"/>
                <w:numId w:val="1"/>
              </w:numPr>
              <w:ind w:left="0" w:firstLine="0"/>
              <w:rPr>
                <w:rFonts w:ascii="仿宋_GB2312" w:hAnsi="宋体" w:eastAsia="仿宋_GB2312" w:cs="宋体"/>
                <w:kern w:val="0"/>
                <w:sz w:val="24"/>
              </w:rPr>
            </w:pPr>
            <w:r>
              <w:rPr>
                <w:rFonts w:hint="eastAsia" w:ascii="仿宋_GB2312" w:hAnsi="宋体" w:eastAsia="仿宋_GB2312" w:cs="宋体"/>
                <w:kern w:val="0"/>
                <w:sz w:val="24"/>
              </w:rPr>
              <w:t>复试录取过程中，有关人员、场地、设备、经费、疫情防控等保障制度落实到位。</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57" w:type="dxa"/>
            <w:vMerge w:val="continue"/>
            <w:shd w:val="clear" w:color="auto" w:fill="auto"/>
            <w:noWrap/>
            <w:vAlign w:val="center"/>
          </w:tcPr>
          <w:p>
            <w:pPr>
              <w:widowControl/>
              <w:spacing w:line="440" w:lineRule="exact"/>
              <w:rPr>
                <w:rFonts w:ascii="仿宋_GB2312" w:hAnsi="宋体" w:eastAsia="仿宋_GB2312" w:cs="宋体"/>
                <w:b/>
                <w:bCs/>
                <w:color w:val="000000"/>
                <w:kern w:val="0"/>
                <w:sz w:val="28"/>
                <w:szCs w:val="28"/>
              </w:rPr>
            </w:pPr>
          </w:p>
        </w:tc>
        <w:tc>
          <w:tcPr>
            <w:tcW w:w="9336" w:type="dxa"/>
            <w:shd w:val="clear" w:color="auto" w:fill="auto"/>
            <w:vAlign w:val="center"/>
          </w:tcPr>
          <w:p>
            <w:pPr>
              <w:widowControl/>
              <w:numPr>
                <w:ilvl w:val="0"/>
                <w:numId w:val="1"/>
              </w:numPr>
              <w:rPr>
                <w:rFonts w:ascii="仿宋_GB2312" w:hAnsi="宋体" w:eastAsia="仿宋_GB2312" w:cs="宋体"/>
                <w:kern w:val="0"/>
                <w:sz w:val="24"/>
              </w:rPr>
            </w:pPr>
            <w:r>
              <w:rPr>
                <w:rFonts w:hint="eastAsia" w:ascii="仿宋_GB2312" w:hAnsi="宋体" w:eastAsia="仿宋_GB2312" w:cs="宋体"/>
                <w:kern w:val="0"/>
                <w:sz w:val="24"/>
              </w:rPr>
              <w:t>建立健全疫情防控期间复试录取工作应急机制，并制定应急预案。</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shd w:val="clear" w:color="auto" w:fill="auto"/>
            <w:noWrap/>
            <w:vAlign w:val="center"/>
          </w:tcPr>
          <w:p>
            <w:pPr>
              <w:widowControl/>
              <w:spacing w:line="440" w:lineRule="exact"/>
              <w:rPr>
                <w:rFonts w:ascii="仿宋_GB2312" w:hAnsi="宋体" w:eastAsia="仿宋_GB2312" w:cs="宋体"/>
                <w:b/>
                <w:bCs/>
                <w:color w:val="000000"/>
                <w:kern w:val="0"/>
                <w:sz w:val="28"/>
                <w:szCs w:val="28"/>
              </w:rPr>
            </w:pPr>
          </w:p>
        </w:tc>
        <w:tc>
          <w:tcPr>
            <w:tcW w:w="9336" w:type="dxa"/>
            <w:shd w:val="clear" w:color="auto" w:fill="auto"/>
            <w:vAlign w:val="center"/>
          </w:tcPr>
          <w:p>
            <w:pPr>
              <w:widowControl/>
              <w:numPr>
                <w:ilvl w:val="0"/>
                <w:numId w:val="1"/>
              </w:numPr>
              <w:ind w:left="0" w:firstLine="0"/>
              <w:rPr>
                <w:rFonts w:ascii="仿宋_GB2312" w:hAnsi="宋体" w:eastAsia="仿宋_GB2312" w:cs="宋体"/>
                <w:kern w:val="0"/>
                <w:sz w:val="24"/>
              </w:rPr>
            </w:pPr>
            <w:r>
              <w:rPr>
                <w:rFonts w:hint="eastAsia" w:ascii="仿宋_GB2312" w:hAnsi="宋体" w:eastAsia="仿宋_GB2312" w:cs="宋体"/>
                <w:kern w:val="0"/>
                <w:sz w:val="24"/>
              </w:rPr>
              <w:t>根据国家相关保密文件规定，落实相关工作人员、命题教师、复试专家组教师、考生信息等安全保密工作，并严格执行回避制度。</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shd w:val="clear" w:color="auto" w:fill="auto"/>
            <w:noWrap/>
            <w:vAlign w:val="center"/>
          </w:tcPr>
          <w:p>
            <w:pPr>
              <w:widowControl/>
              <w:spacing w:line="440" w:lineRule="exact"/>
              <w:rPr>
                <w:rFonts w:ascii="仿宋_GB2312" w:hAnsi="宋体" w:eastAsia="仿宋_GB2312" w:cs="宋体"/>
                <w:b/>
                <w:bCs/>
                <w:color w:val="000000"/>
                <w:kern w:val="0"/>
                <w:sz w:val="28"/>
                <w:szCs w:val="28"/>
              </w:rPr>
            </w:pPr>
          </w:p>
        </w:tc>
        <w:tc>
          <w:tcPr>
            <w:tcW w:w="9336" w:type="dxa"/>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1.</w:t>
            </w:r>
            <w:r>
              <w:rPr>
                <w:rFonts w:ascii="仿宋_GB2312" w:hAnsi="宋体" w:eastAsia="仿宋_GB2312" w:cs="宋体"/>
                <w:kern w:val="0"/>
                <w:sz w:val="24"/>
                <w:szCs w:val="24"/>
              </w:rPr>
              <w:t>9</w:t>
            </w:r>
            <w:r>
              <w:rPr>
                <w:rFonts w:hint="eastAsia" w:ascii="仿宋_GB2312" w:hAnsi="宋体" w:eastAsia="仿宋_GB2312" w:cs="宋体"/>
                <w:kern w:val="0"/>
                <w:sz w:val="24"/>
                <w:szCs w:val="24"/>
              </w:rPr>
              <w:t>严格落实“四个不得”工作要求，即高校内部任何部门和工作人员不得举办或参与举办考研辅导活动，不得向社会培训机构提供举办考研辅导活动的场所和设施，严禁社</w:t>
            </w:r>
            <w:r>
              <w:rPr>
                <w:rFonts w:hint="eastAsia" w:ascii="仿宋_GB2312" w:hAnsi="宋体" w:eastAsia="仿宋_GB2312" w:cs="宋体"/>
                <w:spacing w:val="-6"/>
                <w:kern w:val="0"/>
                <w:sz w:val="24"/>
                <w:szCs w:val="24"/>
              </w:rPr>
              <w:t>会培训机构进入校园以张贴简章、广告等各种方式进行考研辅导培训的招生宣传和组织活动。</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57" w:type="dxa"/>
            <w:vMerge w:val="restart"/>
            <w:shd w:val="clear" w:color="auto" w:fill="auto"/>
            <w:noWrap/>
            <w:vAlign w:val="center"/>
          </w:tcPr>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（一）组织</w:t>
            </w:r>
          </w:p>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管理</w:t>
            </w:r>
          </w:p>
        </w:tc>
        <w:tc>
          <w:tcPr>
            <w:tcW w:w="9336" w:type="dxa"/>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1.1</w:t>
            </w:r>
            <w:r>
              <w:rPr>
                <w:rFonts w:ascii="仿宋_GB2312" w:hAnsi="宋体" w:eastAsia="仿宋_GB2312" w:cs="宋体"/>
                <w:kern w:val="0"/>
                <w:sz w:val="24"/>
              </w:rPr>
              <w:t>0</w:t>
            </w:r>
            <w:r>
              <w:rPr>
                <w:rFonts w:hint="eastAsia" w:ascii="仿宋_GB2312" w:hAnsi="宋体" w:eastAsia="仿宋_GB2312" w:cs="宋体"/>
                <w:kern w:val="0"/>
                <w:sz w:val="24"/>
              </w:rPr>
              <w:t>做好硕士研究生招生政策宣传解读，畅通考生咨询申诉渠道，摸底不具备网络远程复试条件考生并报</w:t>
            </w:r>
            <w:r>
              <w:rPr>
                <w:rFonts w:ascii="仿宋_GB2312" w:hAnsi="宋体" w:eastAsia="仿宋_GB2312" w:cs="宋体"/>
                <w:kern w:val="0"/>
                <w:sz w:val="24"/>
              </w:rPr>
              <w:t>研招办</w:t>
            </w:r>
            <w:r>
              <w:rPr>
                <w:rFonts w:hint="eastAsia" w:ascii="仿宋_GB2312" w:hAnsi="宋体" w:eastAsia="仿宋_GB2312" w:cs="宋体"/>
                <w:kern w:val="0"/>
                <w:sz w:val="24"/>
              </w:rPr>
              <w:t>。</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1.1</w:t>
            </w:r>
            <w:r>
              <w:rPr>
                <w:rFonts w:ascii="仿宋_GB2312" w:hAnsi="宋体" w:eastAsia="仿宋_GB2312" w:cs="宋体"/>
                <w:kern w:val="0"/>
                <w:sz w:val="24"/>
              </w:rPr>
              <w:t>1</w:t>
            </w:r>
            <w:r>
              <w:rPr>
                <w:rFonts w:hint="eastAsia" w:ascii="仿宋_GB2312" w:hAnsi="宋体" w:eastAsia="仿宋_GB2312" w:cs="宋体"/>
                <w:kern w:val="0"/>
                <w:sz w:val="24"/>
              </w:rPr>
              <w:t>对复试录取各环节工作进行风险评估，突发偶发情况应对处理及时得当，涉考涉招舆情平稳。</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1.1</w:t>
            </w:r>
            <w:r>
              <w:rPr>
                <w:rFonts w:ascii="仿宋_GB2312" w:hAnsi="宋体" w:eastAsia="仿宋_GB2312" w:cs="宋体"/>
                <w:kern w:val="0"/>
                <w:sz w:val="24"/>
              </w:rPr>
              <w:t>2</w:t>
            </w:r>
            <w:r>
              <w:rPr>
                <w:rFonts w:hint="eastAsia" w:ascii="仿宋_GB2312" w:hAnsi="宋体" w:eastAsia="仿宋_GB2312" w:cs="宋体"/>
                <w:kern w:val="0"/>
                <w:sz w:val="24"/>
              </w:rPr>
              <w:t>落实复试录取工作责任制和责任追究制。</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1.1</w:t>
            </w:r>
            <w:r>
              <w:rPr>
                <w:rFonts w:ascii="仿宋_GB2312" w:hAnsi="宋体" w:eastAsia="仿宋_GB2312" w:cs="宋体"/>
                <w:kern w:val="0"/>
                <w:sz w:val="24"/>
              </w:rPr>
              <w:t>3</w:t>
            </w:r>
            <w:r>
              <w:rPr>
                <w:rFonts w:hint="eastAsia" w:ascii="仿宋_GB2312" w:hAnsi="宋体" w:eastAsia="仿宋_GB2312" w:cs="宋体"/>
                <w:kern w:val="0"/>
                <w:sz w:val="24"/>
              </w:rPr>
              <w:t>复试录取过程中遇到突发偶发重大事项第一时间主动上报。</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057" w:type="dxa"/>
            <w:vMerge w:val="restart"/>
            <w:shd w:val="clear" w:color="auto" w:fill="auto"/>
            <w:noWrap/>
            <w:vAlign w:val="center"/>
          </w:tcPr>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（二）复试</w:t>
            </w:r>
          </w:p>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准备</w:t>
            </w:r>
          </w:p>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阶段</w:t>
            </w:r>
          </w:p>
          <w:p>
            <w:pPr>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255"/>
                <w:numId w:val="0"/>
              </w:numPr>
              <w:rPr>
                <w:rFonts w:ascii="仿宋_GB2312" w:hAnsi="宋体" w:eastAsia="仿宋_GB2312" w:cs="宋体"/>
                <w:kern w:val="0"/>
                <w:sz w:val="24"/>
              </w:rPr>
            </w:pPr>
            <w:r>
              <w:rPr>
                <w:rFonts w:hint="eastAsia" w:ascii="仿宋_GB2312" w:hAnsi="宋体" w:eastAsia="仿宋_GB2312" w:cs="宋体"/>
                <w:kern w:val="0"/>
                <w:sz w:val="24"/>
              </w:rPr>
              <w:t>2.1在教育部确定的初试成绩基本要求基础上，结合生源和招生计划等情况，自主确定</w:t>
            </w:r>
          </w:p>
          <w:p>
            <w:pPr>
              <w:widowControl/>
              <w:rPr>
                <w:rFonts w:ascii="仿宋_GB2312" w:hAnsi="宋体" w:eastAsia="仿宋_GB2312" w:cs="宋体"/>
                <w:kern w:val="0"/>
                <w:sz w:val="24"/>
              </w:rPr>
            </w:pPr>
            <w:r>
              <w:rPr>
                <w:rFonts w:hint="eastAsia" w:ascii="仿宋_GB2312" w:hAnsi="宋体" w:eastAsia="仿宋_GB2312" w:cs="宋体"/>
                <w:kern w:val="0"/>
                <w:sz w:val="24"/>
              </w:rPr>
              <w:t>本学院考生进入复试的初试成绩要求及其他学术要求，但不得出台歧视性或其他有违公平的规定。</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057" w:type="dxa"/>
            <w:vMerge w:val="continue"/>
            <w:shd w:val="clear" w:color="auto" w:fill="auto"/>
            <w:noWrap/>
            <w:vAlign w:val="center"/>
          </w:tcPr>
          <w:p>
            <w:pPr>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255"/>
                <w:numId w:val="0"/>
              </w:numPr>
              <w:rPr>
                <w:rFonts w:ascii="仿宋_GB2312" w:hAnsi="宋体" w:eastAsia="仿宋_GB2312" w:cs="宋体"/>
                <w:kern w:val="0"/>
                <w:sz w:val="24"/>
              </w:rPr>
            </w:pPr>
            <w:r>
              <w:rPr>
                <w:rFonts w:hint="eastAsia" w:ascii="仿宋_GB2312" w:hAnsi="宋体" w:eastAsia="仿宋_GB2312" w:cs="宋体"/>
                <w:kern w:val="0"/>
                <w:sz w:val="24"/>
              </w:rPr>
              <w:t>2.2同一专业的全日制和非全日制硕士研究生制定相同的初试成绩基本要求。</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057" w:type="dxa"/>
            <w:vMerge w:val="continue"/>
            <w:shd w:val="clear" w:color="auto" w:fill="auto"/>
            <w:noWrap/>
            <w:vAlign w:val="center"/>
          </w:tcPr>
          <w:p>
            <w:pPr>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255"/>
                <w:numId w:val="0"/>
              </w:numPr>
              <w:rPr>
                <w:rFonts w:ascii="仿宋_GB2312" w:hAnsi="宋体" w:eastAsia="仿宋_GB2312" w:cs="宋体"/>
                <w:color w:val="000000"/>
                <w:kern w:val="0"/>
                <w:sz w:val="24"/>
              </w:rPr>
            </w:pPr>
            <w:r>
              <w:rPr>
                <w:rFonts w:hint="eastAsia" w:ascii="仿宋_GB2312" w:hAnsi="宋体" w:eastAsia="仿宋_GB2312" w:cs="宋体"/>
                <w:color w:val="000000"/>
                <w:kern w:val="0"/>
                <w:sz w:val="24"/>
              </w:rPr>
              <w:t>2.3制定“</w:t>
            </w:r>
            <w:r>
              <w:rPr>
                <w:rFonts w:hint="eastAsia" w:ascii="仿宋_GB2312" w:hAnsi="宋体" w:eastAsia="仿宋_GB2312" w:cs="宋体"/>
                <w:kern w:val="0"/>
                <w:sz w:val="24"/>
              </w:rPr>
              <w:t>硕士研究生</w:t>
            </w:r>
            <w:r>
              <w:rPr>
                <w:rFonts w:hint="eastAsia" w:ascii="仿宋_GB2312" w:hAnsi="宋体" w:eastAsia="仿宋_GB2312" w:cs="宋体"/>
                <w:color w:val="000000"/>
                <w:kern w:val="0"/>
                <w:sz w:val="24"/>
              </w:rPr>
              <w:t>复试录取实施细则”。包括复试组织管理机构、复试录取办法和监督复议机制等方面。其中，复试录取办法应包括复试命题管理、复试程序、方式、复试成绩及总成绩计算方法和使用以及其他注意事项等内容。</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057" w:type="dxa"/>
            <w:vMerge w:val="continue"/>
            <w:shd w:val="clear" w:color="auto" w:fill="auto"/>
            <w:noWrap/>
            <w:vAlign w:val="center"/>
          </w:tcPr>
          <w:p>
            <w:pPr>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255"/>
                <w:numId w:val="0"/>
              </w:numPr>
              <w:rPr>
                <w:rFonts w:ascii="仿宋_GB2312" w:hAnsi="宋体" w:eastAsia="仿宋_GB2312" w:cs="宋体"/>
                <w:color w:val="000000"/>
                <w:kern w:val="0"/>
                <w:sz w:val="24"/>
              </w:rPr>
            </w:pPr>
            <w:r>
              <w:rPr>
                <w:rFonts w:hint="eastAsia" w:ascii="仿宋_GB2312" w:hAnsi="宋体" w:eastAsia="仿宋_GB2312" w:cs="宋体"/>
                <w:color w:val="000000"/>
                <w:kern w:val="0"/>
                <w:sz w:val="24"/>
              </w:rPr>
              <w:t>2.4对复试硬件设备、软件平台提前进行测试、调试和检查，并对相关使用人员培训。</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057" w:type="dxa"/>
            <w:vMerge w:val="continue"/>
            <w:shd w:val="clear" w:color="auto" w:fill="auto"/>
            <w:noWrap/>
            <w:vAlign w:val="center"/>
          </w:tcPr>
          <w:p>
            <w:pPr>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255"/>
                <w:numId w:val="0"/>
              </w:numPr>
              <w:rPr>
                <w:rFonts w:ascii="仿宋_GB2312" w:hAnsi="宋体" w:eastAsia="仿宋_GB2312" w:cs="宋体"/>
                <w:color w:val="000000"/>
                <w:kern w:val="0"/>
                <w:sz w:val="24"/>
              </w:rPr>
            </w:pPr>
            <w:r>
              <w:rPr>
                <w:rFonts w:hint="eastAsia" w:ascii="仿宋_GB2312" w:hAnsi="宋体" w:eastAsia="仿宋_GB2312" w:cs="宋体"/>
                <w:color w:val="000000"/>
                <w:kern w:val="0"/>
                <w:sz w:val="24"/>
              </w:rPr>
              <w:t>2.5“</w:t>
            </w:r>
            <w:r>
              <w:rPr>
                <w:rFonts w:hint="eastAsia" w:ascii="仿宋_GB2312" w:hAnsi="宋体" w:eastAsia="仿宋_GB2312" w:cs="宋体"/>
                <w:kern w:val="0"/>
                <w:sz w:val="24"/>
              </w:rPr>
              <w:t>硕士研究生</w:t>
            </w:r>
            <w:r>
              <w:rPr>
                <w:rFonts w:hint="eastAsia" w:ascii="仿宋_GB2312" w:hAnsi="宋体" w:eastAsia="仿宋_GB2312" w:cs="宋体"/>
                <w:color w:val="000000"/>
                <w:kern w:val="0"/>
                <w:sz w:val="24"/>
              </w:rPr>
              <w:t>复试录取实施细则”应提前在本学院网站向社会公布。</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057" w:type="dxa"/>
            <w:vMerge w:val="continue"/>
            <w:shd w:val="clear" w:color="auto" w:fill="auto"/>
            <w:noWrap/>
            <w:vAlign w:val="center"/>
          </w:tcPr>
          <w:p>
            <w:pPr>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255"/>
                <w:numId w:val="0"/>
              </w:numPr>
              <w:rPr>
                <w:rFonts w:ascii="仿宋_GB2312" w:hAnsi="宋体" w:eastAsia="仿宋_GB2312" w:cs="宋体"/>
                <w:color w:val="000000"/>
                <w:kern w:val="0"/>
                <w:sz w:val="24"/>
              </w:rPr>
            </w:pPr>
            <w:r>
              <w:rPr>
                <w:rFonts w:hint="eastAsia" w:ascii="仿宋_GB2312" w:hAnsi="宋体" w:eastAsia="仿宋_GB2312" w:cs="宋体"/>
                <w:color w:val="000000"/>
                <w:kern w:val="0"/>
                <w:sz w:val="24"/>
              </w:rPr>
              <w:t>2.6复试应采取差额形式，复试差额比例一般不低于120%，</w:t>
            </w:r>
            <w:r>
              <w:rPr>
                <w:rFonts w:ascii="仿宋_GB2312" w:hAnsi="宋体" w:eastAsia="仿宋_GB2312" w:cs="宋体"/>
                <w:color w:val="000000"/>
                <w:kern w:val="0"/>
                <w:sz w:val="24"/>
              </w:rPr>
              <w:t>须提前公布</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57" w:type="dxa"/>
            <w:vMerge w:val="continue"/>
            <w:shd w:val="clear" w:color="auto" w:fill="auto"/>
            <w:noWrap/>
            <w:vAlign w:val="center"/>
          </w:tcPr>
          <w:p>
            <w:pPr>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255"/>
                <w:numId w:val="0"/>
              </w:numPr>
              <w:rPr>
                <w:rFonts w:ascii="仿宋_GB2312" w:hAnsi="宋体" w:eastAsia="仿宋_GB2312" w:cs="宋体"/>
                <w:color w:val="000000"/>
                <w:kern w:val="0"/>
                <w:sz w:val="24"/>
              </w:rPr>
            </w:pPr>
            <w:r>
              <w:rPr>
                <w:rFonts w:hint="eastAsia" w:ascii="仿宋_GB2312" w:hAnsi="宋体" w:eastAsia="仿宋_GB2312" w:cs="宋体"/>
                <w:color w:val="000000"/>
                <w:kern w:val="0"/>
                <w:sz w:val="24"/>
              </w:rPr>
              <w:t>2.7同专业的全日制和非全日制硕士研究生复试录取要执行相同政策和标准（即报考条件相同、考试科目相同、进入复试的初试成绩要求和录取标准相同）。</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shd w:val="clear" w:color="auto" w:fill="auto"/>
            <w:noWrap/>
            <w:vAlign w:val="center"/>
          </w:tcPr>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（二）</w:t>
            </w:r>
          </w:p>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复试</w:t>
            </w:r>
          </w:p>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准备</w:t>
            </w:r>
          </w:p>
          <w:p>
            <w:pPr>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阶段</w:t>
            </w:r>
          </w:p>
        </w:tc>
        <w:tc>
          <w:tcPr>
            <w:tcW w:w="9336" w:type="dxa"/>
            <w:shd w:val="clear" w:color="auto" w:fill="auto"/>
            <w:vAlign w:val="center"/>
          </w:tcPr>
          <w:p>
            <w:pPr>
              <w:widowControl/>
              <w:rPr>
                <w:rFonts w:ascii="仿宋_GB2312" w:hAnsi="宋体" w:eastAsia="仿宋_GB2312" w:cs="宋体"/>
                <w:color w:val="000000"/>
                <w:kern w:val="0"/>
                <w:sz w:val="24"/>
              </w:rPr>
            </w:pPr>
            <w:r>
              <w:rPr>
                <w:rFonts w:ascii="仿宋_GB2312" w:hAnsi="宋体" w:eastAsia="仿宋_GB2312" w:cs="宋体"/>
                <w:color w:val="000000"/>
                <w:kern w:val="0"/>
                <w:sz w:val="24"/>
              </w:rPr>
              <w:t>2.</w:t>
            </w:r>
            <w:r>
              <w:rPr>
                <w:rFonts w:hint="eastAsia" w:ascii="仿宋_GB2312" w:hAnsi="宋体" w:eastAsia="仿宋_GB2312" w:cs="宋体"/>
                <w:color w:val="000000"/>
                <w:kern w:val="0"/>
                <w:sz w:val="24"/>
              </w:rPr>
              <w:t>8认真遴选复试工作人员，组织开展有关政策、业务、纪律等方面的培训，使其明确工作职责、工作程序、评判规则和评判标准，特别应明确导师在复试中的权利、责任和纪律要求。</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57" w:type="dxa"/>
            <w:vMerge w:val="continue"/>
            <w:shd w:val="clear" w:color="auto" w:fill="auto"/>
            <w:noWrap/>
            <w:vAlign w:val="center"/>
          </w:tcPr>
          <w:p>
            <w:pPr>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rPr>
                <w:rFonts w:ascii="仿宋_GB2312" w:hAnsi="宋体" w:eastAsia="仿宋_GB2312" w:cs="宋体"/>
                <w:color w:val="000000"/>
                <w:kern w:val="0"/>
                <w:sz w:val="24"/>
              </w:rPr>
            </w:pPr>
            <w:r>
              <w:rPr>
                <w:rFonts w:ascii="仿宋_GB2312" w:hAnsi="宋体" w:eastAsia="仿宋_GB2312" w:cs="宋体"/>
                <w:color w:val="000000"/>
                <w:kern w:val="0"/>
                <w:sz w:val="24"/>
              </w:rPr>
              <w:t>2.</w:t>
            </w:r>
            <w:r>
              <w:rPr>
                <w:rFonts w:hint="eastAsia" w:ascii="仿宋_GB2312" w:hAnsi="宋体" w:eastAsia="仿宋_GB2312" w:cs="宋体"/>
                <w:color w:val="000000"/>
                <w:kern w:val="0"/>
                <w:sz w:val="24"/>
              </w:rPr>
              <w:t>9加强复试命题管理，未发生失泄密情况，题量充足，试题内容科学合理。</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rPr>
                <w:rFonts w:ascii="仿宋_GB2312" w:hAnsi="宋体" w:eastAsia="仿宋_GB2312" w:cs="宋体"/>
                <w:color w:val="000000"/>
                <w:kern w:val="0"/>
                <w:sz w:val="24"/>
              </w:rPr>
            </w:pPr>
            <w:r>
              <w:rPr>
                <w:rFonts w:ascii="仿宋_GB2312" w:hAnsi="宋体" w:eastAsia="仿宋_GB2312" w:cs="宋体"/>
                <w:color w:val="000000"/>
                <w:kern w:val="0"/>
                <w:sz w:val="24"/>
              </w:rPr>
              <w:t>2.1</w:t>
            </w:r>
            <w:r>
              <w:rPr>
                <w:rFonts w:hint="eastAsia" w:ascii="仿宋_GB2312" w:hAnsi="宋体" w:eastAsia="仿宋_GB2312" w:cs="宋体"/>
                <w:color w:val="000000"/>
                <w:kern w:val="0"/>
                <w:sz w:val="24"/>
              </w:rPr>
              <w:t>0提前公布考生进入复试的资格条件、复试考生名单和复试安排，并通知考生。</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rPr>
                <w:rFonts w:ascii="仿宋_GB2312" w:hAnsi="宋体" w:eastAsia="仿宋_GB2312" w:cs="宋体"/>
                <w:color w:val="000000"/>
                <w:kern w:val="0"/>
                <w:sz w:val="24"/>
              </w:rPr>
            </w:pPr>
            <w:r>
              <w:rPr>
                <w:rFonts w:ascii="仿宋_GB2312" w:hAnsi="宋体" w:eastAsia="仿宋_GB2312" w:cs="宋体"/>
                <w:color w:val="000000"/>
                <w:kern w:val="0"/>
                <w:sz w:val="24"/>
              </w:rPr>
              <w:t>2.1</w:t>
            </w:r>
            <w:r>
              <w:rPr>
                <w:rFonts w:hint="eastAsia" w:ascii="仿宋_GB2312" w:hAnsi="宋体" w:eastAsia="仿宋_GB2312" w:cs="宋体"/>
                <w:color w:val="000000"/>
                <w:kern w:val="0"/>
                <w:sz w:val="24"/>
              </w:rPr>
              <w:t>1在复试前，对考生的有效居民身份证、学历学位证书、学籍学历核验结果、学生证等报名材料原件及考生资格进行严格审查，对不符合规定者，不予复试。</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2.12采取有效措施，降低复试场所人员密度，防止人员聚集。做好人员排查、场地安排、防疫等工作。</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57" w:type="dxa"/>
            <w:vMerge w:val="restart"/>
            <w:shd w:val="clear" w:color="auto" w:fill="auto"/>
            <w:noWrap/>
            <w:vAlign w:val="center"/>
          </w:tcPr>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（三）复试</w:t>
            </w:r>
          </w:p>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过程</w:t>
            </w:r>
          </w:p>
        </w:tc>
        <w:tc>
          <w:tcPr>
            <w:tcW w:w="9336" w:type="dxa"/>
            <w:shd w:val="clear" w:color="auto" w:fill="auto"/>
            <w:vAlign w:val="center"/>
          </w:tcPr>
          <w:p>
            <w:pPr>
              <w:widowControl/>
              <w:numPr>
                <w:ilvl w:val="0"/>
                <w:numId w:val="2"/>
              </w:numPr>
              <w:ind w:left="0" w:firstLine="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对复试全程录音录像，相关资料保存12个月。</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0"/>
                <w:numId w:val="2"/>
              </w:numPr>
              <w:ind w:left="0" w:firstLine="0"/>
              <w:rPr>
                <w:rFonts w:ascii="仿宋_GB2312" w:hAnsi="宋体" w:eastAsia="仿宋_GB2312" w:cs="宋体"/>
                <w:color w:val="000000"/>
                <w:kern w:val="0"/>
                <w:sz w:val="24"/>
              </w:rPr>
            </w:pPr>
            <w:r>
              <w:rPr>
                <w:rFonts w:hint="eastAsia" w:ascii="仿宋_GB2312" w:hAnsi="宋体" w:eastAsia="仿宋_GB2312" w:cs="宋体"/>
                <w:color w:val="000000"/>
                <w:kern w:val="0"/>
                <w:sz w:val="24"/>
              </w:rPr>
              <w:t>每名考生面试时间一般不少于20分钟。</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0"/>
                <w:numId w:val="2"/>
              </w:numPr>
              <w:ind w:left="0" w:firstLine="0"/>
              <w:rPr>
                <w:rFonts w:ascii="仿宋_GB2312" w:hAnsi="宋体" w:eastAsia="仿宋_GB2312" w:cs="宋体"/>
                <w:color w:val="000000"/>
                <w:kern w:val="0"/>
                <w:sz w:val="24"/>
              </w:rPr>
            </w:pPr>
            <w:r>
              <w:rPr>
                <w:rFonts w:hint="eastAsia" w:ascii="仿宋_GB2312" w:hAnsi="宋体" w:eastAsia="仿宋_GB2312" w:cs="宋体"/>
                <w:color w:val="000000"/>
                <w:kern w:val="0"/>
                <w:sz w:val="24"/>
              </w:rPr>
              <w:t>每个复试小组专家成员一般不少于5人，现场独立评分。</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0"/>
                <w:numId w:val="2"/>
              </w:numPr>
              <w:ind w:left="0" w:firstLine="0"/>
              <w:rPr>
                <w:rFonts w:ascii="仿宋_GB2312" w:hAnsi="宋体" w:eastAsia="仿宋_GB2312" w:cs="宋体"/>
                <w:color w:val="000000"/>
                <w:kern w:val="0"/>
                <w:sz w:val="24"/>
              </w:rPr>
            </w:pPr>
            <w:r>
              <w:rPr>
                <w:rFonts w:hint="eastAsia" w:ascii="仿宋_GB2312" w:hAnsi="宋体" w:eastAsia="仿宋_GB2312" w:cs="宋体"/>
                <w:color w:val="000000"/>
                <w:kern w:val="0"/>
                <w:sz w:val="24"/>
              </w:rPr>
              <w:t>每个面试小组对每位考生的作答情况进行现场记录。评分记录和考生作答情况交研招</w:t>
            </w:r>
            <w:r>
              <w:rPr>
                <w:rFonts w:ascii="仿宋_GB2312" w:hAnsi="宋体" w:eastAsia="仿宋_GB2312" w:cs="宋体"/>
                <w:color w:val="000000"/>
                <w:kern w:val="0"/>
                <w:sz w:val="24"/>
              </w:rPr>
              <w:t>办</w:t>
            </w:r>
            <w:r>
              <w:rPr>
                <w:rFonts w:hint="eastAsia" w:ascii="仿宋_GB2312" w:hAnsi="宋体" w:eastAsia="仿宋_GB2312" w:cs="宋体"/>
                <w:color w:val="000000"/>
                <w:kern w:val="0"/>
                <w:sz w:val="24"/>
              </w:rPr>
              <w:t>集中统一保管备查，任何人不得改动。</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0"/>
                <w:numId w:val="2"/>
              </w:numPr>
              <w:ind w:left="0" w:firstLine="0"/>
              <w:rPr>
                <w:rFonts w:ascii="仿宋_GB2312" w:hAnsi="宋体" w:eastAsia="仿宋_GB2312" w:cs="宋体"/>
                <w:color w:val="000000"/>
                <w:kern w:val="0"/>
                <w:sz w:val="24"/>
              </w:rPr>
            </w:pPr>
            <w:r>
              <w:rPr>
                <w:rFonts w:hint="eastAsia" w:ascii="仿宋_GB2312" w:hAnsi="宋体" w:eastAsia="仿宋_GB2312" w:cs="宋体"/>
                <w:color w:val="000000"/>
                <w:kern w:val="0"/>
                <w:sz w:val="24"/>
              </w:rPr>
              <w:t>同一学科（专业）各面试小组的面试方式、时间、试题难度和成绩评定标准统一。</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0"/>
                <w:numId w:val="2"/>
              </w:numPr>
              <w:rPr>
                <w:rFonts w:ascii="仿宋_GB2312" w:hAnsi="宋体" w:eastAsia="仿宋_GB2312" w:cs="宋体"/>
                <w:color w:val="000000"/>
                <w:kern w:val="0"/>
                <w:sz w:val="24"/>
              </w:rPr>
            </w:pPr>
            <w:r>
              <w:rPr>
                <w:rFonts w:hint="eastAsia" w:ascii="仿宋_GB2312" w:hAnsi="宋体" w:eastAsia="仿宋_GB2312" w:cs="宋体"/>
                <w:color w:val="000000"/>
                <w:kern w:val="0"/>
                <w:sz w:val="24"/>
              </w:rPr>
              <w:t>实行“随机确定考生复试次序”“随机确定导师组组成人员”“随机抽取复试试题”的“三随机”工作机制。</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0"/>
                <w:numId w:val="2"/>
              </w:numPr>
              <w:ind w:left="0" w:firstLine="0"/>
              <w:rPr>
                <w:rFonts w:ascii="仿宋_GB2312" w:hAnsi="宋体" w:eastAsia="仿宋_GB2312" w:cs="宋体"/>
                <w:color w:val="000000"/>
                <w:kern w:val="0"/>
                <w:sz w:val="24"/>
              </w:rPr>
            </w:pPr>
            <w:r>
              <w:rPr>
                <w:rFonts w:hint="eastAsia" w:ascii="仿宋_GB2312" w:hAnsi="宋体" w:eastAsia="仿宋_GB2312" w:cs="宋体"/>
                <w:color w:val="000000"/>
                <w:kern w:val="0"/>
                <w:sz w:val="24"/>
              </w:rPr>
              <w:t>做好考生思想政治素质和道德品质考核工作，不合格者不予录取。</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0"/>
                <w:numId w:val="2"/>
              </w:numPr>
              <w:ind w:left="0" w:firstLine="0"/>
              <w:rPr>
                <w:rFonts w:ascii="仿宋_GB2312" w:hAnsi="宋体" w:eastAsia="仿宋_GB2312" w:cs="宋体"/>
                <w:color w:val="000000"/>
                <w:kern w:val="0"/>
                <w:sz w:val="24"/>
              </w:rPr>
            </w:pPr>
            <w:r>
              <w:rPr>
                <w:rFonts w:hint="eastAsia" w:ascii="仿宋_GB2312" w:hAnsi="宋体" w:eastAsia="仿宋_GB2312" w:cs="宋体"/>
                <w:color w:val="000000"/>
                <w:kern w:val="0"/>
                <w:sz w:val="24"/>
              </w:rPr>
              <w:t>规范执行初试总分加分政策，除教育部统一规定的范围和标准外，不擅自扩大范围，另设标准。</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restart"/>
            <w:shd w:val="clear" w:color="auto" w:fill="auto"/>
            <w:noWrap/>
          </w:tcPr>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（三）复试</w:t>
            </w:r>
          </w:p>
          <w:p>
            <w:pPr>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过程</w:t>
            </w:r>
          </w:p>
        </w:tc>
        <w:tc>
          <w:tcPr>
            <w:tcW w:w="9336" w:type="dxa"/>
            <w:shd w:val="clear" w:color="auto" w:fill="auto"/>
            <w:vAlign w:val="center"/>
          </w:tcPr>
          <w:p>
            <w:pPr>
              <w:widowControl/>
              <w:numPr>
                <w:ilvl w:val="0"/>
                <w:numId w:val="2"/>
              </w:numPr>
              <w:ind w:left="0" w:firstLine="0"/>
              <w:rPr>
                <w:rFonts w:ascii="仿宋_GB2312" w:hAnsi="宋体" w:eastAsia="仿宋_GB2312" w:cs="宋体"/>
                <w:color w:val="000000"/>
                <w:kern w:val="0"/>
                <w:sz w:val="24"/>
              </w:rPr>
            </w:pPr>
            <w:r>
              <w:rPr>
                <w:rFonts w:hint="eastAsia" w:ascii="仿宋_GB2312" w:hAnsi="宋体" w:eastAsia="仿宋_GB2312" w:cs="宋体"/>
                <w:color w:val="000000"/>
                <w:kern w:val="0"/>
                <w:sz w:val="24"/>
              </w:rPr>
              <w:t>以同等学力参加复试的考生，加试（采用笔试方式）至少两门与报考专业相关的本科主干课程，且不与初试科目相同。报考法律硕士（非法学）、工商管理硕士、或工程管理硕士的同等学力考生不加试。</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57" w:type="dxa"/>
            <w:vMerge w:val="continue"/>
            <w:shd w:val="clear" w:color="auto" w:fill="auto"/>
            <w:noWrap/>
          </w:tcPr>
          <w:p>
            <w:pPr>
              <w:rPr>
                <w:rFonts w:ascii="Calibri" w:hAnsi="Calibri" w:eastAsia="宋体" w:cs="Times New Roman"/>
              </w:rPr>
            </w:pPr>
          </w:p>
        </w:tc>
        <w:tc>
          <w:tcPr>
            <w:tcW w:w="9336" w:type="dxa"/>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3.10组织开展复试录取巡视督查。</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57" w:type="dxa"/>
            <w:vMerge w:val="restart"/>
            <w:shd w:val="clear" w:color="auto" w:fill="auto"/>
            <w:noWrap/>
            <w:vAlign w:val="center"/>
          </w:tcPr>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（四）</w:t>
            </w:r>
          </w:p>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调剂</w:t>
            </w:r>
          </w:p>
        </w:tc>
        <w:tc>
          <w:tcPr>
            <w:tcW w:w="9336" w:type="dxa"/>
            <w:shd w:val="clear" w:color="auto" w:fill="auto"/>
            <w:vAlign w:val="center"/>
          </w:tcPr>
          <w:p>
            <w:pPr>
              <w:widowControl/>
              <w:numPr>
                <w:ilvl w:val="0"/>
                <w:numId w:val="3"/>
              </w:numPr>
              <w:ind w:left="0" w:firstLine="0"/>
              <w:rPr>
                <w:rFonts w:ascii="仿宋_GB2312" w:hAnsi="宋体" w:eastAsia="仿宋_GB2312" w:cs="宋体"/>
                <w:color w:val="000000"/>
                <w:kern w:val="0"/>
                <w:sz w:val="24"/>
              </w:rPr>
            </w:pPr>
            <w:r>
              <w:rPr>
                <w:rFonts w:hint="eastAsia" w:ascii="仿宋_GB2312" w:hAnsi="宋体" w:eastAsia="仿宋_GB2312" w:cs="宋体"/>
                <w:color w:val="000000"/>
                <w:kern w:val="0"/>
                <w:sz w:val="24"/>
              </w:rPr>
              <w:t>按教育部关于硕士研究生招生调剂工作通知及有关政策依据制定本学院调剂工作办法，并提前在“全国硕士研究生招生调剂服务系统”和本学院网站公布。</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0"/>
                <w:numId w:val="3"/>
              </w:numPr>
              <w:ind w:left="0" w:firstLine="0"/>
              <w:rPr>
                <w:rFonts w:ascii="仿宋_GB2312" w:hAnsi="宋体" w:eastAsia="仿宋_GB2312" w:cs="宋体"/>
                <w:color w:val="000000"/>
                <w:kern w:val="0"/>
                <w:sz w:val="24"/>
              </w:rPr>
            </w:pPr>
            <w:r>
              <w:rPr>
                <w:rFonts w:hint="eastAsia" w:ascii="仿宋_GB2312" w:hAnsi="宋体" w:eastAsia="仿宋_GB2312" w:cs="宋体"/>
                <w:color w:val="000000"/>
                <w:kern w:val="0"/>
                <w:sz w:val="24"/>
              </w:rPr>
              <w:t>对申请同一招生单位同一专业、初试科目完全相同的调剂考生，按考生初试成绩择优确定进入复试的考生名单，不得简单以考生提交调剂志愿的时间先后顺序等非学业水平标准作为遴选依据。</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0"/>
                <w:numId w:val="3"/>
              </w:numPr>
              <w:ind w:left="0" w:firstLine="0"/>
              <w:rPr>
                <w:rFonts w:ascii="仿宋_GB2312" w:hAnsi="宋体" w:eastAsia="仿宋_GB2312" w:cs="宋体"/>
                <w:color w:val="000000"/>
                <w:kern w:val="0"/>
                <w:sz w:val="24"/>
              </w:rPr>
            </w:pPr>
            <w:r>
              <w:rPr>
                <w:rFonts w:hint="eastAsia" w:ascii="仿宋_GB2312" w:hAnsi="宋体" w:eastAsia="仿宋_GB2312" w:cs="宋体"/>
                <w:color w:val="000000"/>
                <w:kern w:val="0"/>
                <w:sz w:val="24"/>
              </w:rPr>
              <w:t>调剂考生满足</w:t>
            </w:r>
            <w:r>
              <w:rPr>
                <w:rFonts w:ascii="仿宋_GB2312" w:hAnsi="宋体" w:eastAsia="仿宋_GB2312" w:cs="宋体"/>
                <w:color w:val="000000"/>
                <w:kern w:val="0"/>
                <w:sz w:val="24"/>
              </w:rPr>
              <w:t>学校</w:t>
            </w:r>
            <w:r>
              <w:rPr>
                <w:rFonts w:hint="eastAsia" w:ascii="仿宋_GB2312" w:hAnsi="宋体" w:eastAsia="仿宋_GB2312" w:cs="宋体"/>
                <w:color w:val="000000"/>
                <w:kern w:val="0"/>
                <w:sz w:val="24"/>
              </w:rPr>
              <w:t>规定的调剂基本条件。</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0"/>
                <w:numId w:val="3"/>
              </w:numPr>
              <w:ind w:left="0" w:firstLine="0"/>
              <w:rPr>
                <w:rFonts w:ascii="仿宋_GB2312" w:hAnsi="宋体" w:eastAsia="仿宋_GB2312" w:cs="宋体"/>
                <w:color w:val="000000"/>
                <w:kern w:val="0"/>
                <w:sz w:val="24"/>
              </w:rPr>
            </w:pPr>
            <w:r>
              <w:rPr>
                <w:rFonts w:hint="eastAsia" w:ascii="仿宋_GB2312" w:hAnsi="宋体" w:eastAsia="仿宋_GB2312" w:cs="宋体"/>
                <w:color w:val="000000"/>
                <w:kern w:val="0"/>
                <w:sz w:val="24"/>
              </w:rPr>
              <w:t>提前公布“调剂服务系统”开放和关闭时间，且每次开放持续时间不低于12个小时。</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numPr>
                <w:ilvl w:val="0"/>
                <w:numId w:val="3"/>
              </w:numPr>
              <w:ind w:left="0" w:firstLine="0"/>
              <w:rPr>
                <w:rFonts w:ascii="仿宋_GB2312" w:hAnsi="宋体" w:eastAsia="仿宋_GB2312" w:cs="宋体"/>
                <w:kern w:val="0"/>
                <w:sz w:val="24"/>
              </w:rPr>
            </w:pPr>
            <w:r>
              <w:rPr>
                <w:rFonts w:hint="eastAsia" w:ascii="仿宋_GB2312" w:hAnsi="宋体" w:eastAsia="仿宋_GB2312" w:cs="宋体"/>
                <w:kern w:val="0"/>
                <w:sz w:val="24"/>
              </w:rPr>
              <w:t>调剂志愿锁定时间最长不超过36个小时。</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57" w:type="dxa"/>
            <w:vMerge w:val="restart"/>
            <w:shd w:val="clear" w:color="auto" w:fill="auto"/>
            <w:noWrap/>
            <w:vAlign w:val="center"/>
          </w:tcPr>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（五）招生</w:t>
            </w:r>
          </w:p>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计划</w:t>
            </w:r>
          </w:p>
        </w:tc>
        <w:tc>
          <w:tcPr>
            <w:tcW w:w="9336" w:type="dxa"/>
            <w:shd w:val="clear" w:color="auto" w:fill="auto"/>
            <w:vAlign w:val="center"/>
          </w:tcPr>
          <w:p>
            <w:pPr>
              <w:widowControl/>
              <w:rPr>
                <w:rFonts w:ascii="仿宋_GB2312" w:hAnsi="宋体" w:eastAsia="仿宋_GB2312" w:cs="宋体"/>
                <w:kern w:val="0"/>
                <w:sz w:val="24"/>
              </w:rPr>
            </w:pPr>
            <w:r>
              <w:rPr>
                <w:rFonts w:ascii="仿宋_GB2312" w:hAnsi="宋体" w:eastAsia="仿宋_GB2312" w:cs="宋体"/>
                <w:kern w:val="0"/>
                <w:sz w:val="24"/>
              </w:rPr>
              <w:t>5.1</w:t>
            </w:r>
            <w:r>
              <w:rPr>
                <w:rFonts w:hint="eastAsia" w:ascii="仿宋_GB2312" w:hAnsi="宋体" w:eastAsia="仿宋_GB2312" w:cs="宋体"/>
                <w:kern w:val="0"/>
                <w:sz w:val="24"/>
              </w:rPr>
              <w:t>严格执行学校下达的招生计划（含各专项计划）及相关要求，不超计划录取。</w:t>
            </w:r>
          </w:p>
        </w:tc>
        <w:tc>
          <w:tcPr>
            <w:tcW w:w="686" w:type="dxa"/>
            <w:shd w:val="clear" w:color="auto" w:fill="auto"/>
            <w:vAlign w:val="center"/>
          </w:tcPr>
          <w:p>
            <w:pPr>
              <w:widowControl/>
              <w:jc w:val="center"/>
              <w:rPr>
                <w:rFonts w:ascii="仿宋_GB2312" w:hAnsi="宋体" w:eastAsia="仿宋_GB2312" w:cs="宋体"/>
                <w:b/>
                <w:bCs/>
                <w:color w:val="000000"/>
                <w:kern w:val="0"/>
                <w:sz w:val="24"/>
              </w:rPr>
            </w:pPr>
          </w:p>
        </w:tc>
        <w:tc>
          <w:tcPr>
            <w:tcW w:w="686" w:type="dxa"/>
            <w:shd w:val="clear" w:color="auto" w:fill="auto"/>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5</w:t>
            </w:r>
            <w:r>
              <w:rPr>
                <w:rFonts w:ascii="仿宋_GB2312" w:hAnsi="宋体" w:eastAsia="仿宋_GB2312" w:cs="宋体"/>
                <w:kern w:val="0"/>
                <w:sz w:val="24"/>
              </w:rPr>
              <w:t>.2</w:t>
            </w:r>
            <w:r>
              <w:rPr>
                <w:rFonts w:hint="eastAsia" w:ascii="仿宋_GB2312" w:hAnsi="宋体" w:eastAsia="仿宋_GB2312" w:cs="宋体"/>
                <w:kern w:val="0"/>
                <w:sz w:val="24"/>
              </w:rPr>
              <w:t>招生计划调整符合规定。学术型计划可调整到专业学位使用，专业学位计划不得调整到学术型使用；全日制和非全日制计划不得相互调整使用。</w:t>
            </w:r>
          </w:p>
        </w:tc>
        <w:tc>
          <w:tcPr>
            <w:tcW w:w="686" w:type="dxa"/>
            <w:shd w:val="clear" w:color="auto" w:fill="auto"/>
            <w:vAlign w:val="center"/>
          </w:tcPr>
          <w:p>
            <w:pPr>
              <w:widowControl/>
              <w:jc w:val="center"/>
              <w:rPr>
                <w:rFonts w:ascii="仿宋_GB2312" w:hAnsi="宋体" w:eastAsia="仿宋_GB2312" w:cs="宋体"/>
                <w:b/>
                <w:bCs/>
                <w:color w:val="000000"/>
                <w:kern w:val="0"/>
                <w:sz w:val="24"/>
              </w:rPr>
            </w:pPr>
          </w:p>
        </w:tc>
        <w:tc>
          <w:tcPr>
            <w:tcW w:w="686" w:type="dxa"/>
            <w:shd w:val="clear" w:color="auto" w:fill="auto"/>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57" w:type="dxa"/>
            <w:vMerge w:val="continue"/>
            <w:shd w:val="clear" w:color="auto" w:fill="auto"/>
            <w:noWrap/>
            <w:vAlign w:val="center"/>
          </w:tcPr>
          <w:p>
            <w:pPr>
              <w:widowControl/>
              <w:spacing w:line="440" w:lineRule="exact"/>
              <w:jc w:val="center"/>
              <w:rPr>
                <w:rFonts w:ascii="黑体" w:hAnsi="黑体" w:eastAsia="黑体" w:cs="宋体"/>
                <w:color w:val="000000"/>
                <w:kern w:val="0"/>
                <w:sz w:val="28"/>
                <w:szCs w:val="28"/>
              </w:rPr>
            </w:pPr>
          </w:p>
        </w:tc>
        <w:tc>
          <w:tcPr>
            <w:tcW w:w="9336" w:type="dxa"/>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5</w:t>
            </w:r>
            <w:r>
              <w:rPr>
                <w:rFonts w:ascii="仿宋_GB2312" w:hAnsi="宋体" w:eastAsia="仿宋_GB2312" w:cs="宋体"/>
                <w:kern w:val="0"/>
                <w:sz w:val="24"/>
              </w:rPr>
              <w:t>.3</w:t>
            </w:r>
            <w:r>
              <w:rPr>
                <w:rFonts w:hint="eastAsia" w:ascii="仿宋_GB2312" w:hAnsi="宋体" w:eastAsia="仿宋_GB2312" w:cs="宋体"/>
                <w:kern w:val="0"/>
                <w:sz w:val="24"/>
              </w:rPr>
              <w:t>非全日制硕士研究生原则上只招收在职定向就业人员。</w:t>
            </w:r>
          </w:p>
        </w:tc>
        <w:tc>
          <w:tcPr>
            <w:tcW w:w="686" w:type="dxa"/>
            <w:shd w:val="clear" w:color="auto" w:fill="auto"/>
            <w:vAlign w:val="center"/>
          </w:tcPr>
          <w:p>
            <w:pPr>
              <w:widowControl/>
              <w:jc w:val="center"/>
              <w:rPr>
                <w:rFonts w:ascii="仿宋_GB2312" w:hAnsi="宋体" w:eastAsia="仿宋_GB2312" w:cs="宋体"/>
                <w:b/>
                <w:bCs/>
                <w:color w:val="000000"/>
                <w:kern w:val="0"/>
                <w:sz w:val="24"/>
              </w:rPr>
            </w:pPr>
          </w:p>
        </w:tc>
        <w:tc>
          <w:tcPr>
            <w:tcW w:w="686" w:type="dxa"/>
            <w:shd w:val="clear" w:color="auto" w:fill="auto"/>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bl>
    <w:p>
      <w:pPr>
        <w:rPr>
          <w:rFonts w:ascii="Calibri" w:hAnsi="Calibri" w:eastAsia="宋体" w:cs="Times New Roman"/>
        </w:rPr>
      </w:pPr>
      <w:r>
        <w:rPr>
          <w:rFonts w:ascii="Calibri" w:hAnsi="Calibri" w:eastAsia="宋体" w:cs="Times New Roman"/>
        </w:rPr>
        <w:br w:type="page"/>
      </w:r>
    </w:p>
    <w:tbl>
      <w:tblPr>
        <w:tblStyle w:val="3"/>
        <w:tblW w:w="14317"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9336"/>
        <w:gridCol w:w="686"/>
        <w:gridCol w:w="68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057" w:type="dxa"/>
            <w:vMerge w:val="restart"/>
            <w:shd w:val="clear" w:color="auto" w:fill="auto"/>
            <w:noWrap/>
            <w:vAlign w:val="center"/>
          </w:tcPr>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（六）信息</w:t>
            </w:r>
          </w:p>
          <w:p>
            <w:pPr>
              <w:widowControl/>
              <w:spacing w:line="44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公开</w:t>
            </w:r>
          </w:p>
        </w:tc>
        <w:tc>
          <w:tcPr>
            <w:tcW w:w="9336" w:type="dxa"/>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r>
              <w:rPr>
                <w:rFonts w:ascii="仿宋_GB2312" w:hAnsi="宋体" w:eastAsia="仿宋_GB2312" w:cs="宋体"/>
                <w:color w:val="000000"/>
                <w:kern w:val="0"/>
                <w:sz w:val="24"/>
              </w:rPr>
              <w:t>.1</w:t>
            </w:r>
            <w:r>
              <w:rPr>
                <w:rFonts w:hint="eastAsia" w:ascii="仿宋_GB2312" w:hAnsi="宋体" w:eastAsia="仿宋_GB2312" w:cs="宋体"/>
                <w:color w:val="000000"/>
                <w:kern w:val="0"/>
                <w:sz w:val="24"/>
                <w:szCs w:val="24"/>
              </w:rPr>
              <w:t>复试录取工作开始前，应在本学院网站向社会公布实施细则，</w:t>
            </w:r>
            <w:r>
              <w:rPr>
                <w:rFonts w:hint="eastAsia" w:ascii="仿宋_GB2312" w:hAnsi="宋体" w:eastAsia="仿宋_GB2312" w:cs="宋体"/>
                <w:color w:val="000000"/>
                <w:kern w:val="0"/>
                <w:sz w:val="24"/>
              </w:rPr>
              <w:t>各专业招生人数。</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057" w:type="dxa"/>
            <w:vMerge w:val="continue"/>
            <w:shd w:val="clear" w:color="auto" w:fill="auto"/>
            <w:noWrap/>
            <w:vAlign w:val="center"/>
          </w:tcPr>
          <w:p>
            <w:pPr>
              <w:widowControl/>
              <w:spacing w:line="440" w:lineRule="exact"/>
              <w:jc w:val="center"/>
              <w:rPr>
                <w:rFonts w:ascii="仿宋_GB2312" w:hAnsi="宋体" w:eastAsia="仿宋_GB2312" w:cs="宋体"/>
                <w:b/>
                <w:bCs/>
                <w:color w:val="000000"/>
                <w:kern w:val="0"/>
                <w:sz w:val="28"/>
                <w:szCs w:val="28"/>
              </w:rPr>
            </w:pPr>
          </w:p>
        </w:tc>
        <w:tc>
          <w:tcPr>
            <w:tcW w:w="9336" w:type="dxa"/>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r>
              <w:rPr>
                <w:rFonts w:ascii="仿宋_GB2312" w:hAnsi="宋体" w:eastAsia="仿宋_GB2312" w:cs="宋体"/>
                <w:color w:val="000000"/>
                <w:kern w:val="0"/>
                <w:sz w:val="24"/>
              </w:rPr>
              <w:t>.2</w:t>
            </w:r>
            <w:r>
              <w:rPr>
                <w:rFonts w:hint="eastAsia" w:ascii="仿宋_GB2312" w:hAnsi="宋体" w:eastAsia="仿宋_GB2312" w:cs="宋体"/>
                <w:color w:val="000000"/>
                <w:kern w:val="0"/>
                <w:sz w:val="24"/>
              </w:rPr>
              <w:t>通过“全国硕士研究生招生调剂服务系统”及时准确发布计划余额信息及接收考生调剂申请的初试成绩等基本要求。</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057" w:type="dxa"/>
            <w:vMerge w:val="continue"/>
            <w:shd w:val="clear" w:color="auto" w:fill="auto"/>
            <w:noWrap/>
            <w:vAlign w:val="center"/>
          </w:tcPr>
          <w:p>
            <w:pPr>
              <w:widowControl/>
              <w:jc w:val="center"/>
              <w:rPr>
                <w:rFonts w:ascii="仿宋_GB2312" w:hAnsi="宋体" w:eastAsia="仿宋_GB2312" w:cs="宋体"/>
                <w:b/>
                <w:bCs/>
                <w:color w:val="000000"/>
                <w:kern w:val="0"/>
                <w:sz w:val="32"/>
                <w:szCs w:val="21"/>
              </w:rPr>
            </w:pPr>
          </w:p>
        </w:tc>
        <w:tc>
          <w:tcPr>
            <w:tcW w:w="9336" w:type="dxa"/>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r>
              <w:rPr>
                <w:rFonts w:ascii="仿宋_GB2312" w:hAnsi="宋体" w:eastAsia="仿宋_GB2312" w:cs="宋体"/>
                <w:color w:val="000000"/>
                <w:kern w:val="0"/>
                <w:sz w:val="24"/>
              </w:rPr>
              <w:t>.3</w:t>
            </w:r>
            <w:r>
              <w:rPr>
                <w:rFonts w:hint="eastAsia" w:ascii="仿宋_GB2312" w:hAnsi="宋体" w:eastAsia="仿宋_GB2312" w:cs="宋体"/>
                <w:color w:val="000000"/>
                <w:kern w:val="0"/>
                <w:sz w:val="24"/>
              </w:rPr>
              <w:t>提前公布参加复试考生名单（包括考生姓名、考生编号、初试各科成绩等信息）和考生</w:t>
            </w:r>
            <w:r>
              <w:rPr>
                <w:rFonts w:ascii="仿宋_GB2312" w:hAnsi="宋体" w:eastAsia="仿宋_GB2312" w:cs="宋体"/>
                <w:color w:val="000000"/>
                <w:kern w:val="0"/>
                <w:sz w:val="24"/>
              </w:rPr>
              <w:t>复试成绩</w:t>
            </w:r>
            <w:r>
              <w:rPr>
                <w:rFonts w:hint="eastAsia" w:ascii="仿宋_GB2312" w:hAnsi="宋体" w:eastAsia="仿宋_GB2312" w:cs="宋体"/>
                <w:color w:val="000000"/>
                <w:kern w:val="0"/>
                <w:sz w:val="24"/>
              </w:rPr>
              <w:t>（包括考生姓名、考生编号、初试成绩、复试成绩、总成绩等信息）。</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1057" w:type="dxa"/>
            <w:vMerge w:val="continue"/>
            <w:shd w:val="clear" w:color="auto" w:fill="auto"/>
            <w:noWrap/>
            <w:vAlign w:val="center"/>
          </w:tcPr>
          <w:p>
            <w:pPr>
              <w:widowControl/>
              <w:jc w:val="center"/>
              <w:rPr>
                <w:rFonts w:ascii="仿宋_GB2312" w:hAnsi="宋体" w:eastAsia="仿宋_GB2312" w:cs="宋体"/>
                <w:b/>
                <w:bCs/>
                <w:kern w:val="0"/>
                <w:sz w:val="32"/>
                <w:szCs w:val="21"/>
              </w:rPr>
            </w:pPr>
          </w:p>
        </w:tc>
        <w:tc>
          <w:tcPr>
            <w:tcW w:w="9336" w:type="dxa"/>
            <w:shd w:val="clear" w:color="auto" w:fill="auto"/>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r>
              <w:rPr>
                <w:rFonts w:ascii="仿宋_GB2312" w:hAnsi="宋体" w:eastAsia="仿宋_GB2312" w:cs="宋体"/>
                <w:color w:val="000000"/>
                <w:kern w:val="0"/>
                <w:sz w:val="24"/>
              </w:rPr>
              <w:t>.4</w:t>
            </w:r>
            <w:r>
              <w:rPr>
                <w:rFonts w:hint="eastAsia" w:ascii="仿宋_GB2312" w:hAnsi="宋体" w:eastAsia="仿宋_GB2312" w:cs="宋体"/>
                <w:color w:val="000000"/>
                <w:kern w:val="0"/>
                <w:sz w:val="24"/>
              </w:rPr>
              <w:t>对参加专项计划、享受初试加分或照顾政策的考生相关情况，在公布考生名单时进行说明。</w:t>
            </w:r>
          </w:p>
        </w:tc>
        <w:tc>
          <w:tcPr>
            <w:tcW w:w="686" w:type="dxa"/>
            <w:shd w:val="clear" w:color="auto" w:fill="auto"/>
            <w:vAlign w:val="center"/>
          </w:tcPr>
          <w:p>
            <w:pPr>
              <w:widowControl/>
              <w:jc w:val="center"/>
              <w:rPr>
                <w:rFonts w:ascii="仿宋_GB2312" w:hAnsi="宋体" w:eastAsia="仿宋_GB2312" w:cs="宋体"/>
                <w:b/>
                <w:bCs/>
                <w:color w:val="000000"/>
                <w:kern w:val="0"/>
                <w:sz w:val="24"/>
              </w:rPr>
            </w:pPr>
          </w:p>
        </w:tc>
        <w:tc>
          <w:tcPr>
            <w:tcW w:w="686" w:type="dxa"/>
            <w:shd w:val="clear" w:color="auto" w:fill="auto"/>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 w:type="dxa"/>
            <w:vMerge w:val="continue"/>
            <w:shd w:val="clear" w:color="auto" w:fill="auto"/>
            <w:noWrap/>
            <w:vAlign w:val="center"/>
          </w:tcPr>
          <w:p>
            <w:pPr>
              <w:widowControl/>
              <w:jc w:val="center"/>
              <w:rPr>
                <w:rFonts w:ascii="仿宋_GB2312" w:hAnsi="宋体" w:eastAsia="仿宋_GB2312" w:cs="宋体"/>
                <w:b/>
                <w:bCs/>
                <w:color w:val="000000"/>
                <w:kern w:val="0"/>
                <w:sz w:val="32"/>
                <w:szCs w:val="21"/>
              </w:rPr>
            </w:pPr>
          </w:p>
        </w:tc>
        <w:tc>
          <w:tcPr>
            <w:tcW w:w="9336" w:type="dxa"/>
            <w:shd w:val="clear" w:color="auto" w:fill="auto"/>
            <w:vAlign w:val="center"/>
          </w:tcPr>
          <w:p>
            <w:pPr>
              <w:widowControl/>
              <w:rPr>
                <w:rFonts w:ascii="仿宋_GB2312" w:hAnsi="宋体" w:eastAsia="仿宋_GB2312" w:cs="宋体"/>
                <w:color w:val="000000"/>
                <w:spacing w:val="-10"/>
                <w:kern w:val="0"/>
                <w:sz w:val="24"/>
              </w:rPr>
            </w:pPr>
            <w:r>
              <w:rPr>
                <w:rFonts w:hint="eastAsia" w:ascii="仿宋_GB2312" w:hAnsi="宋体" w:eastAsia="仿宋_GB2312" w:cs="宋体"/>
                <w:color w:val="000000"/>
                <w:kern w:val="0"/>
                <w:sz w:val="24"/>
              </w:rPr>
              <w:t>6</w:t>
            </w:r>
            <w:r>
              <w:rPr>
                <w:rFonts w:ascii="仿宋_GB2312" w:hAnsi="宋体" w:eastAsia="仿宋_GB2312" w:cs="宋体"/>
                <w:color w:val="000000"/>
                <w:kern w:val="0"/>
                <w:sz w:val="24"/>
              </w:rPr>
              <w:t>.5</w:t>
            </w:r>
            <w:r>
              <w:rPr>
                <w:rFonts w:hint="eastAsia" w:ascii="仿宋_GB2312" w:hAnsi="宋体" w:eastAsia="仿宋_GB2312" w:cs="宋体"/>
                <w:color w:val="000000"/>
                <w:kern w:val="0"/>
                <w:sz w:val="24"/>
              </w:rPr>
              <w:t>在公示有关信息的同时，提供考生咨询及申诉渠道，包括联系部门、电子信箱、电</w:t>
            </w:r>
            <w:r>
              <w:rPr>
                <w:rFonts w:hint="eastAsia" w:ascii="仿宋_GB2312" w:hAnsi="宋体" w:eastAsia="仿宋_GB2312" w:cs="宋体"/>
                <w:color w:val="000000"/>
                <w:spacing w:val="-10"/>
                <w:kern w:val="0"/>
                <w:sz w:val="24"/>
              </w:rPr>
              <w:t>话号码和通讯地址等，保证相关渠道畅通，并按照有关规定对相关申诉和举报及时调查处理。</w:t>
            </w: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686" w:type="dxa"/>
            <w:shd w:val="clear" w:color="auto" w:fill="auto"/>
            <w:noWrap/>
            <w:vAlign w:val="center"/>
          </w:tcPr>
          <w:p>
            <w:pPr>
              <w:widowControl/>
              <w:jc w:val="center"/>
              <w:rPr>
                <w:rFonts w:ascii="仿宋_GB2312" w:hAnsi="宋体" w:eastAsia="仿宋_GB2312" w:cs="宋体"/>
                <w:b/>
                <w:bCs/>
                <w:color w:val="000000"/>
                <w:kern w:val="0"/>
                <w:sz w:val="24"/>
              </w:rPr>
            </w:pPr>
          </w:p>
        </w:tc>
        <w:tc>
          <w:tcPr>
            <w:tcW w:w="2552" w:type="dxa"/>
            <w:vAlign w:val="center"/>
          </w:tcPr>
          <w:p>
            <w:pPr>
              <w:widowControl/>
              <w:rPr>
                <w:rFonts w:ascii="仿宋_GB2312" w:hAnsi="宋体" w:eastAsia="仿宋_GB2312" w:cs="宋体"/>
                <w:b/>
                <w:bCs/>
                <w:color w:val="000000"/>
                <w:kern w:val="0"/>
                <w:sz w:val="24"/>
              </w:rPr>
            </w:pPr>
          </w:p>
        </w:tc>
      </w:tr>
    </w:tbl>
    <w:p>
      <w:pPr>
        <w:spacing w:line="440" w:lineRule="exact"/>
        <w:ind w:firstLine="420" w:firstLineChars="150"/>
        <w:rPr>
          <w:rFonts w:ascii="楷体_GB2312" w:hAnsi="楷体" w:eastAsia="楷体_GB2312" w:cs="Times New Roman"/>
          <w:sz w:val="28"/>
          <w:szCs w:val="28"/>
        </w:rPr>
      </w:pPr>
      <w:r>
        <w:rPr>
          <w:rFonts w:hint="eastAsia" w:ascii="楷体" w:hAnsi="楷体" w:eastAsia="楷体" w:cs="Times New Roman"/>
          <w:sz w:val="28"/>
          <w:szCs w:val="28"/>
        </w:rPr>
        <w:t>注：</w:t>
      </w:r>
      <w:r>
        <w:rPr>
          <w:rFonts w:hint="eastAsia" w:ascii="楷体_GB2312" w:hAnsi="楷体" w:eastAsia="楷体_GB2312" w:cs="Times New Roman"/>
          <w:sz w:val="28"/>
          <w:szCs w:val="28"/>
        </w:rPr>
        <w:t>1.请在执行情况栏目中的相应表格内划“√”；</w:t>
      </w:r>
    </w:p>
    <w:p>
      <w:pPr>
        <w:spacing w:line="440" w:lineRule="exact"/>
        <w:ind w:firstLine="980" w:firstLineChars="350"/>
        <w:rPr>
          <w:rFonts w:ascii="仿宋_GB2312" w:hAnsi="Calibri" w:eastAsia="仿宋_GB2312" w:cs="Times New Roman"/>
          <w:sz w:val="32"/>
          <w:szCs w:val="32"/>
        </w:rPr>
      </w:pPr>
      <w:r>
        <w:rPr>
          <w:rFonts w:hint="eastAsia" w:ascii="楷体_GB2312" w:hAnsi="楷体" w:eastAsia="楷体_GB2312" w:cs="Times New Roman"/>
          <w:sz w:val="28"/>
          <w:szCs w:val="28"/>
        </w:rPr>
        <w:t>2.各学院须在硕士研究生招生复试录取工作结束后3日内将本表报送研招办。</w:t>
      </w:r>
    </w:p>
    <w:p>
      <w:pPr>
        <w:rPr>
          <w:rFonts w:ascii="仿宋_GB2312" w:hAnsi="Times New Roman" w:eastAsia="仿宋_GB2312" w:cs="Times New Roman"/>
          <w:spacing w:val="-2"/>
          <w:sz w:val="32"/>
          <w:szCs w:val="20"/>
        </w:rPr>
      </w:pPr>
    </w:p>
    <w:p>
      <w:pPr>
        <w:rPr>
          <w:rFonts w:ascii="仿宋_GB2312" w:hAnsi="Times New Roman" w:eastAsia="仿宋_GB2312" w:cs="Times New Roman"/>
          <w:spacing w:val="-2"/>
          <w:sz w:val="32"/>
          <w:szCs w:val="20"/>
        </w:rPr>
      </w:pPr>
    </w:p>
    <w:p>
      <w:pPr>
        <w:tabs>
          <w:tab w:val="left" w:pos="3139"/>
        </w:tabs>
        <w:rPr>
          <w:rFonts w:ascii="仿宋_GB2312" w:hAnsi="Times New Roman" w:eastAsia="仿宋_GB2312" w:cs="Times New Roman"/>
          <w:sz w:val="32"/>
          <w:szCs w:val="20"/>
        </w:rPr>
      </w:pPr>
    </w:p>
    <w:p>
      <w:pPr>
        <w:tabs>
          <w:tab w:val="left" w:pos="3139"/>
        </w:tabs>
        <w:rPr>
          <w:rFonts w:ascii="仿宋_GB2312" w:hAnsi="Times New Roman" w:eastAsia="仿宋_GB2312" w:cs="Times New Roman"/>
          <w:sz w:val="32"/>
          <w:szCs w:val="20"/>
        </w:rPr>
      </w:pPr>
    </w:p>
    <w:p>
      <w:pPr>
        <w:rPr>
          <w:rFonts w:ascii="仿宋_GB2312" w:hAnsi="Times New Roman" w:eastAsia="仿宋_GB2312" w:cs="Times New Roman"/>
          <w:sz w:val="32"/>
          <w:szCs w:val="20"/>
        </w:rPr>
      </w:pPr>
    </w:p>
    <w:p>
      <w:pPr>
        <w:rPr>
          <w:rFonts w:ascii="仿宋_GB2312" w:hAnsi="Times New Roman" w:eastAsia="仿宋_GB2312" w:cs="Times New Roman"/>
          <w:sz w:val="32"/>
          <w:szCs w:val="20"/>
        </w:rPr>
      </w:pPr>
    </w:p>
    <w:p>
      <w:bookmarkStart w:id="0" w:name="_GoBack"/>
      <w:bookmarkEnd w:id="0"/>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8162912"/>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21 -</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FA7"/>
    <w:multiLevelType w:val="multilevel"/>
    <w:tmpl w:val="00295FA7"/>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7500EE"/>
    <w:multiLevelType w:val="multilevel"/>
    <w:tmpl w:val="027500EE"/>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7863DDF"/>
    <w:multiLevelType w:val="multilevel"/>
    <w:tmpl w:val="67863DDF"/>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77693"/>
    <w:rsid w:val="5B777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2020-05-11T05:58:00Z</dcterms:created>
  <dc:creator>钟小雅</dc:creator>
  <cp:lastModifiedBy>钟小雅</cp:lastModifiedBy>
  <dcterms:modified xsi:type="dcterms:W3CDTF">2020-05-11T05:58:34Z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