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Pr>
        <w:t>佛山科学技术学院2021年全日制硕士研究生招生专业目录</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0"/>
        <w:gridCol w:w="938"/>
        <w:gridCol w:w="1060"/>
        <w:gridCol w:w="746"/>
        <w:gridCol w:w="1656"/>
        <w:gridCol w:w="2310"/>
        <w:gridCol w:w="1845"/>
        <w:gridCol w:w="2563"/>
        <w:gridCol w:w="23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shd w:val="clear"/>
            <w:vAlign w:val="center"/>
          </w:tcPr>
          <w:p>
            <w:pPr>
              <w:pStyle w:val="2"/>
              <w:keepNext w:val="0"/>
              <w:keepLines w:val="0"/>
              <w:widowControl/>
              <w:suppressLineNumbers w:val="0"/>
              <w:spacing w:line="23" w:lineRule="atLeast"/>
              <w:jc w:val="center"/>
            </w:pPr>
            <w:r>
              <w:rPr>
                <w:rFonts w:ascii="Tahoma" w:hAnsi="Tahoma" w:eastAsia="Tahoma" w:cs="Tahoma"/>
                <w:sz w:val="18"/>
                <w:szCs w:val="18"/>
                <w:bdr w:val="none" w:color="auto" w:sz="0" w:space="0"/>
              </w:rPr>
              <w:t>学位类型</w:t>
            </w:r>
          </w:p>
        </w:tc>
        <w:tc>
          <w:tcPr>
            <w:tcW w:w="138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一级学科或专业学位类别</w:t>
            </w: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招生专业代码及名称</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拟招生人数(全日制)</w:t>
            </w:r>
          </w:p>
        </w:tc>
        <w:tc>
          <w:tcPr>
            <w:tcW w:w="288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研究方向</w:t>
            </w:r>
          </w:p>
        </w:tc>
        <w:tc>
          <w:tcPr>
            <w:tcW w:w="327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初试考试科目代码及名称</w:t>
            </w:r>
          </w:p>
        </w:tc>
        <w:tc>
          <w:tcPr>
            <w:tcW w:w="3075"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复试专业课笔试科目</w:t>
            </w:r>
          </w:p>
        </w:tc>
        <w:tc>
          <w:tcPr>
            <w:tcW w:w="4245"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同等学力考生加试科目</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招生学院及联系方式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学术硕士</w:t>
            </w: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0802</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机械工程</w:t>
            </w:r>
          </w:p>
        </w:tc>
        <w:tc>
          <w:tcPr>
            <w:tcW w:w="144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080200</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机械工程</w:t>
            </w:r>
          </w:p>
        </w:tc>
        <w:tc>
          <w:tcPr>
            <w:tcW w:w="11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21</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1.陶瓷/铝型材装备设计及制造</w:t>
            </w:r>
          </w:p>
        </w:tc>
        <w:tc>
          <w:tcPr>
            <w:tcW w:w="3270"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②（201）《英语一》</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③（301）《数学一》</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④（801）《机械设计》</w:t>
            </w:r>
          </w:p>
        </w:tc>
        <w:tc>
          <w:tcPr>
            <w:tcW w:w="307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《机械制造技术》</w:t>
            </w:r>
          </w:p>
        </w:tc>
        <w:tc>
          <w:tcPr>
            <w:tcW w:w="424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《材料力学》和《机械原理》</w:t>
            </w:r>
          </w:p>
        </w:tc>
        <w:tc>
          <w:tcPr>
            <w:tcW w:w="26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机电工程与自动化学院</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联系人：陈老师</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电话：13560134650 </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E-mail：weilin.chen@fosu.edu.cn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2.先进机器人技术与应用</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3.高端装备动力学与健康维护</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4.新能源汽车技术</w:t>
            </w:r>
          </w:p>
        </w:tc>
        <w:tc>
          <w:tcPr>
            <w:tcW w:w="3270" w:type="dxa"/>
            <w:vMerge w:val="continue"/>
            <w:shd w:val="clear"/>
            <w:vAlign w:val="center"/>
          </w:tcPr>
          <w:p>
            <w:pPr>
              <w:rPr>
                <w:rFonts w:hint="default" w:ascii="Tahoma" w:hAnsi="Tahoma" w:eastAsia="Tahoma" w:cs="Tahoma"/>
                <w:sz w:val="18"/>
                <w:szCs w:val="18"/>
              </w:rPr>
            </w:pP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《汽车构造》</w:t>
            </w: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5.先进焊接与增材制造技术</w:t>
            </w:r>
          </w:p>
        </w:tc>
        <w:tc>
          <w:tcPr>
            <w:tcW w:w="3270" w:type="dxa"/>
            <w:vMerge w:val="continue"/>
            <w:shd w:val="clear"/>
            <w:vAlign w:val="center"/>
          </w:tcPr>
          <w:p>
            <w:pPr>
              <w:rPr>
                <w:rFonts w:hint="default" w:ascii="Tahoma" w:hAnsi="Tahoma" w:eastAsia="Tahoma" w:cs="Tahoma"/>
                <w:sz w:val="18"/>
                <w:szCs w:val="18"/>
              </w:rPr>
            </w:pP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《金属学与热处理》</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《机械制造技术》和《材料成型原理》</w:t>
            </w: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6.工业设计</w:t>
            </w:r>
          </w:p>
        </w:tc>
        <w:tc>
          <w:tcPr>
            <w:tcW w:w="327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②（201）《英语一》</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③（301）《数学一》</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④（802）《设计学基础理论》</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《工业设计史》</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《设计速写》和《构成》</w:t>
            </w: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0803</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光学工程</w:t>
            </w:r>
          </w:p>
        </w:tc>
        <w:tc>
          <w:tcPr>
            <w:tcW w:w="144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080300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光学工程</w:t>
            </w:r>
          </w:p>
        </w:tc>
        <w:tc>
          <w:tcPr>
            <w:tcW w:w="11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15</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1.光电材料与半导体照明</w:t>
            </w:r>
          </w:p>
        </w:tc>
        <w:tc>
          <w:tcPr>
            <w:tcW w:w="3270"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②（201）《英语一》</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③（301）《数学一》</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④（803）《物理光学》</w:t>
            </w:r>
          </w:p>
        </w:tc>
        <w:tc>
          <w:tcPr>
            <w:tcW w:w="307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《光电子基础》</w:t>
            </w:r>
          </w:p>
        </w:tc>
        <w:tc>
          <w:tcPr>
            <w:tcW w:w="424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《大学物理》和《光电检测与传感》</w:t>
            </w:r>
          </w:p>
        </w:tc>
        <w:tc>
          <w:tcPr>
            <w:tcW w:w="26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物理与光电工程学院</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联系人：陈老师</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电话：13590606459</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E-mail：chenwch@163.com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2.光电子信息与技术</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3.光电检测与成像</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0805</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材料科学与工程</w:t>
            </w:r>
          </w:p>
        </w:tc>
        <w:tc>
          <w:tcPr>
            <w:tcW w:w="144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080500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材料科学与工程</w:t>
            </w:r>
          </w:p>
        </w:tc>
        <w:tc>
          <w:tcPr>
            <w:tcW w:w="11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16</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1.轻合金新材料及表面工程</w:t>
            </w:r>
          </w:p>
        </w:tc>
        <w:tc>
          <w:tcPr>
            <w:tcW w:w="3270"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②（201）《英语一》</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③（302）《数学二》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④（804）《物理化学》</w:t>
            </w:r>
          </w:p>
        </w:tc>
        <w:tc>
          <w:tcPr>
            <w:tcW w:w="307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《材料科学基础》或《综合化学》</w:t>
            </w:r>
          </w:p>
        </w:tc>
        <w:tc>
          <w:tcPr>
            <w:tcW w:w="424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《无机化学》、《有机化学》、《材料物理与化学》、《材料测试方法》任选2门（不能与已考科目相同）</w:t>
            </w:r>
          </w:p>
        </w:tc>
        <w:tc>
          <w:tcPr>
            <w:tcW w:w="26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材料科学与氢能学院</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联系人：罗老师</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电话： 18312562586</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E-mail：18312562586@163.com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2.无机功能粉体</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3.功能高分子材料与助剂</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4.新能源材料</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0905</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畜牧学</w:t>
            </w:r>
          </w:p>
        </w:tc>
        <w:tc>
          <w:tcPr>
            <w:tcW w:w="144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090500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畜牧学</w:t>
            </w:r>
          </w:p>
        </w:tc>
        <w:tc>
          <w:tcPr>
            <w:tcW w:w="11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13</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1.动物遗传育种与繁殖</w:t>
            </w:r>
          </w:p>
        </w:tc>
        <w:tc>
          <w:tcPr>
            <w:tcW w:w="3270"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②（201）《英语一》</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③（710）《化学农(自)》</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④（805）《动物生理学与生物化学(自)》</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《动物遗传学》</w:t>
            </w:r>
          </w:p>
        </w:tc>
        <w:tc>
          <w:tcPr>
            <w:tcW w:w="424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《家畜育种学》、《动物繁殖学》、《饲料添加剂学》、《饲料学》、《家畜环境卫生学》任选2门</w:t>
            </w:r>
          </w:p>
        </w:tc>
        <w:tc>
          <w:tcPr>
            <w:tcW w:w="26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生命科学与工程学院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联系人：陈老师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电话：18610323785</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E-mail：jihebuluo2015@163.com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2.动物营养与饲料科学</w:t>
            </w:r>
          </w:p>
        </w:tc>
        <w:tc>
          <w:tcPr>
            <w:tcW w:w="3270" w:type="dxa"/>
            <w:vMerge w:val="continue"/>
            <w:shd w:val="clear"/>
            <w:vAlign w:val="center"/>
          </w:tcPr>
          <w:p>
            <w:pPr>
              <w:rPr>
                <w:rFonts w:hint="default" w:ascii="Tahoma" w:hAnsi="Tahoma" w:eastAsia="Tahoma" w:cs="Tahoma"/>
                <w:sz w:val="18"/>
                <w:szCs w:val="18"/>
              </w:rPr>
            </w:pP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《动物营养学》</w:t>
            </w: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3.动物生产</w:t>
            </w:r>
          </w:p>
        </w:tc>
        <w:tc>
          <w:tcPr>
            <w:tcW w:w="3270" w:type="dxa"/>
            <w:vMerge w:val="continue"/>
            <w:shd w:val="clear"/>
            <w:vAlign w:val="center"/>
          </w:tcPr>
          <w:p>
            <w:pPr>
              <w:rPr>
                <w:rFonts w:hint="default" w:ascii="Tahoma" w:hAnsi="Tahoma" w:eastAsia="Tahoma" w:cs="Tahoma"/>
                <w:sz w:val="18"/>
                <w:szCs w:val="18"/>
              </w:rPr>
            </w:pP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《动物生产学》</w:t>
            </w: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0906</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兽医学</w:t>
            </w:r>
          </w:p>
        </w:tc>
        <w:tc>
          <w:tcPr>
            <w:tcW w:w="144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090600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兽医学</w:t>
            </w:r>
          </w:p>
        </w:tc>
        <w:tc>
          <w:tcPr>
            <w:tcW w:w="11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22</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1.动物生物药物研发</w:t>
            </w:r>
          </w:p>
        </w:tc>
        <w:tc>
          <w:tcPr>
            <w:tcW w:w="3270"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   </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②（201）《英语一》</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③（710）《化学农(自)》</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④（805）《动物生理学与生物化学(自)》</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《兽医药理学》</w:t>
            </w:r>
          </w:p>
        </w:tc>
        <w:tc>
          <w:tcPr>
            <w:tcW w:w="424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《兽医微生物学》和《动物组织学与胚胎学》</w:t>
            </w:r>
          </w:p>
        </w:tc>
        <w:tc>
          <w:tcPr>
            <w:tcW w:w="26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生命科学与工程学院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联系人：黄老师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电话：13923467367</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E-mail：342780359@qq.com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2.动物免疫病理学</w:t>
            </w:r>
          </w:p>
        </w:tc>
        <w:tc>
          <w:tcPr>
            <w:tcW w:w="3270" w:type="dxa"/>
            <w:vMerge w:val="continue"/>
            <w:shd w:val="clear"/>
            <w:vAlign w:val="center"/>
          </w:tcPr>
          <w:p>
            <w:pPr>
              <w:rPr>
                <w:rFonts w:hint="default" w:ascii="Tahoma" w:hAnsi="Tahoma" w:eastAsia="Tahoma" w:cs="Tahoma"/>
                <w:sz w:val="18"/>
                <w:szCs w:val="18"/>
              </w:rPr>
            </w:pP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《兽医病理学》</w:t>
            </w: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3.家禽传染病</w:t>
            </w:r>
          </w:p>
        </w:tc>
        <w:tc>
          <w:tcPr>
            <w:tcW w:w="3270" w:type="dxa"/>
            <w:vMerge w:val="continue"/>
            <w:shd w:val="clear"/>
            <w:vAlign w:val="center"/>
          </w:tcPr>
          <w:p>
            <w:pPr>
              <w:rPr>
                <w:rFonts w:hint="default" w:ascii="Tahoma" w:hAnsi="Tahoma" w:eastAsia="Tahoma" w:cs="Tahoma"/>
                <w:sz w:val="18"/>
                <w:szCs w:val="18"/>
              </w:rPr>
            </w:pPr>
          </w:p>
        </w:tc>
        <w:tc>
          <w:tcPr>
            <w:tcW w:w="307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《家畜传染病学》</w:t>
            </w: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4.猪传染病</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5.小动物医学与中毒病</w:t>
            </w:r>
          </w:p>
        </w:tc>
        <w:tc>
          <w:tcPr>
            <w:tcW w:w="3270" w:type="dxa"/>
            <w:vMerge w:val="continue"/>
            <w:shd w:val="clear"/>
            <w:vAlign w:val="center"/>
          </w:tcPr>
          <w:p>
            <w:pPr>
              <w:rPr>
                <w:rFonts w:hint="default" w:ascii="Tahoma" w:hAnsi="Tahoma" w:eastAsia="Tahoma" w:cs="Tahoma"/>
                <w:sz w:val="18"/>
                <w:szCs w:val="18"/>
              </w:rPr>
            </w:pP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《兽医临床诊断学》</w:t>
            </w: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0814</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土木工程</w:t>
            </w:r>
          </w:p>
        </w:tc>
        <w:tc>
          <w:tcPr>
            <w:tcW w:w="144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081400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土木工程</w:t>
            </w:r>
          </w:p>
        </w:tc>
        <w:tc>
          <w:tcPr>
            <w:tcW w:w="11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21</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1.桥梁设计计算理论与应用</w:t>
            </w:r>
          </w:p>
        </w:tc>
        <w:tc>
          <w:tcPr>
            <w:tcW w:w="3270"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②（201）《英语一》</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③（301）《数学一》</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④（806）《结构力学》</w:t>
            </w:r>
          </w:p>
        </w:tc>
        <w:tc>
          <w:tcPr>
            <w:tcW w:w="3075" w:type="dxa"/>
            <w:vMerge w:val="restart"/>
            <w:shd w:val="clear"/>
            <w:vAlign w:val="center"/>
          </w:tcPr>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《混凝土结构设计原理》</w:t>
            </w:r>
          </w:p>
        </w:tc>
        <w:tc>
          <w:tcPr>
            <w:tcW w:w="4245" w:type="dxa"/>
            <w:shd w:val="clear"/>
            <w:vAlign w:val="center"/>
          </w:tcPr>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《材料力学》和《桥梁工程》</w:t>
            </w:r>
          </w:p>
        </w:tc>
        <w:tc>
          <w:tcPr>
            <w:tcW w:w="26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交通与土木建筑学院</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联系人：彭老师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电话：13709667033</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E-mail：1120610904@qq.com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2.混凝土结构理论与应用</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shd w:val="clear"/>
            <w:vAlign w:val="center"/>
          </w:tcPr>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《材料力学》和《钢结构设计原理》</w:t>
            </w: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3.岩土力学与地下结构工程</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restart"/>
            <w:shd w:val="clear"/>
            <w:vAlign w:val="center"/>
          </w:tcPr>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《材料力学》和《土力学》</w:t>
            </w: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4.土木工程施工控制与健康监测</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5.新型建筑材料与结构</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shd w:val="clear"/>
            <w:vAlign w:val="center"/>
          </w:tcPr>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《材料力学》和《钢结构设计原理》</w:t>
            </w: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6.水处理理论与技术</w:t>
            </w:r>
          </w:p>
        </w:tc>
        <w:tc>
          <w:tcPr>
            <w:tcW w:w="3270" w:type="dxa"/>
            <w:shd w:val="clear"/>
            <w:vAlign w:val="center"/>
          </w:tcPr>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②（201）《英语一》</w:t>
            </w:r>
          </w:p>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③（301）《数学一》</w:t>
            </w:r>
          </w:p>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④（807）《流体力学》</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《给水排水管道工程》</w:t>
            </w:r>
          </w:p>
        </w:tc>
        <w:tc>
          <w:tcPr>
            <w:tcW w:w="4245" w:type="dxa"/>
            <w:shd w:val="clear"/>
            <w:vAlign w:val="center"/>
          </w:tcPr>
          <w:p>
            <w:pPr>
              <w:pStyle w:val="2"/>
              <w:keepNext w:val="0"/>
              <w:keepLines w:val="0"/>
              <w:widowControl/>
              <w:suppressLineNumbers w:val="0"/>
              <w:spacing w:line="23" w:lineRule="atLeast"/>
              <w:jc w:val="left"/>
            </w:pPr>
            <w:r>
              <w:rPr>
                <w:rFonts w:hint="default" w:ascii="Tahoma" w:hAnsi="Tahoma" w:eastAsia="Tahoma" w:cs="Tahoma"/>
                <w:sz w:val="18"/>
                <w:szCs w:val="18"/>
                <w:bdr w:val="none" w:color="auto" w:sz="0" w:space="0"/>
              </w:rPr>
              <w:t>《水处理微生物学》和《水质工程学》</w:t>
            </w: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专业硕士</w:t>
            </w: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0854</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电子信息硕士</w:t>
            </w:r>
          </w:p>
        </w:tc>
        <w:tc>
          <w:tcPr>
            <w:tcW w:w="144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085400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电子信息</w:t>
            </w:r>
          </w:p>
        </w:tc>
        <w:tc>
          <w:tcPr>
            <w:tcW w:w="11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110</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1.智能电网技术</w:t>
            </w:r>
          </w:p>
        </w:tc>
        <w:tc>
          <w:tcPr>
            <w:tcW w:w="3270"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②（204）《英语二》</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③（302）《数学二》</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④（808）《自动控制原理》</w:t>
            </w:r>
          </w:p>
        </w:tc>
        <w:tc>
          <w:tcPr>
            <w:tcW w:w="307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《控制技术综合》</w:t>
            </w:r>
          </w:p>
        </w:tc>
        <w:tc>
          <w:tcPr>
            <w:tcW w:w="424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《电路》和《传感器技术》</w:t>
            </w:r>
          </w:p>
        </w:tc>
        <w:tc>
          <w:tcPr>
            <w:tcW w:w="26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机电工程与自动化学院</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联系人：郑老师</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电话：13512726488</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E-mail：740480258@qq.com</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联系人：文老师</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电话：15118600669</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E-mail：1092088056@qq.com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2.电力电子装置的设计与控制</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3.先进控制策略与工业控制</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4.自动化装备与电气传动</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5.智能感知设备与信息处理</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6.机器视觉与人工智能技术</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7.光电工程</w:t>
            </w:r>
          </w:p>
        </w:tc>
        <w:tc>
          <w:tcPr>
            <w:tcW w:w="3270" w:type="dxa"/>
            <w:shd w:val="clear"/>
            <w:vAlign w:val="top"/>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②（204）《英语二》</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③（302）《数学二》</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④（809）《电子技术》</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《光学》</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《大学物理》和《光电传感技术》</w:t>
            </w: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8.工业优化及决策支持系统</w:t>
            </w:r>
          </w:p>
        </w:tc>
        <w:tc>
          <w:tcPr>
            <w:tcW w:w="3270" w:type="dxa"/>
            <w:shd w:val="clear"/>
            <w:vAlign w:val="top"/>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②（204）《英语二》</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③（302）《数学二》</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④（810）《数据结构》</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《计算机综合》</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《软件工程》和《数据库系统原理》</w:t>
            </w: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0951</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农业硕士</w:t>
            </w: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095131</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农艺与种业</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38</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不区分研究方向</w:t>
            </w:r>
          </w:p>
        </w:tc>
        <w:tc>
          <w:tcPr>
            <w:tcW w:w="3270" w:type="dxa"/>
            <w:shd w:val="clear"/>
            <w:vAlign w:val="top"/>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③（339）《农业知识综合一》</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④（811）《园艺概论》</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《园艺产业》</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《植物学》和《植物生理学》</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食品科学与工程学院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联系人：洪老师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电话：15099976751</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E-mail：627547441@qq.com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095133</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畜牧</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31</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不区分研究方向</w:t>
            </w:r>
          </w:p>
        </w:tc>
        <w:tc>
          <w:tcPr>
            <w:tcW w:w="327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③（340）《农业知识综合二》</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④（812）《动物营养学与饲料学》</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《动物生产学》</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《家畜环境卫生学》、《饲料添加剂学》、《家畜繁殖学》任选2门</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生命科学与工程学院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联系人：宫老师</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电话：15700077122</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E-mail：1092613701@qq.com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095134</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渔业发展</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15</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不区分研究方向</w:t>
            </w:r>
          </w:p>
        </w:tc>
        <w:tc>
          <w:tcPr>
            <w:tcW w:w="327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③（340）《农业知识综合二》</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④（813）《鱼类学》</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《水产动物营养与饲料学》</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《水生生物学》、《水产动物疾病学》、《池塘养鱼学》任选2门</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生命科学与工程学院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联系人：余老师</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电话：15625138112</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E-mail：782129849@qq.com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095135</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食品加工与安全</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36</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不区分研究方向</w:t>
            </w:r>
          </w:p>
        </w:tc>
        <w:tc>
          <w:tcPr>
            <w:tcW w:w="327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③（341）《农业知识综合三》</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④（814）《食品化学》</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《食品营养学》</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《食品工艺学》和《食品微生物学》</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食品科学与工程学院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联系人：白老师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电话：15015737880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E-mail：546232815@qq.com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0952</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兽医硕士</w:t>
            </w:r>
          </w:p>
        </w:tc>
        <w:tc>
          <w:tcPr>
            <w:tcW w:w="144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095200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兽医</w:t>
            </w:r>
          </w:p>
        </w:tc>
        <w:tc>
          <w:tcPr>
            <w:tcW w:w="11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70</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1.动物生物药物研发与应用</w:t>
            </w:r>
          </w:p>
        </w:tc>
        <w:tc>
          <w:tcPr>
            <w:tcW w:w="3270"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③（343）《兽医基础》</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④（815）《兽医微生物学与免疫学》</w:t>
            </w:r>
          </w:p>
        </w:tc>
        <w:tc>
          <w:tcPr>
            <w:tcW w:w="307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《家畜传染病学》</w:t>
            </w:r>
          </w:p>
        </w:tc>
        <w:tc>
          <w:tcPr>
            <w:tcW w:w="424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《动物组织学与胚胎学》和《动物生物化学》</w:t>
            </w:r>
          </w:p>
        </w:tc>
        <w:tc>
          <w:tcPr>
            <w:tcW w:w="26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生命科学与工程学院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联系人：黄老师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电话：13923467367</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E-mail：342780359@qq.com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2.动物疫病防控</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3.人兽共患病</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4.小动物临床诊疗</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0451</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教育硕士</w:t>
            </w: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045102</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学科教学（思政）</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18</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不区分研究方向</w:t>
            </w:r>
          </w:p>
        </w:tc>
        <w:tc>
          <w:tcPr>
            <w:tcW w:w="327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③（333）《教育综合》</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④（816）《思想政治教育学原理》</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《习近平新时代中国特色社会主义思想》</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《马克思主义政治经济学》和《科学社会主义》</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马克思主义学院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联系人：范老师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电话：13392687896</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E-mail：342051175@qq.com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045103</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学科教学（语文）</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25</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不区分研究方向</w:t>
            </w:r>
          </w:p>
        </w:tc>
        <w:tc>
          <w:tcPr>
            <w:tcW w:w="327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③（333）《教育综合》</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④（817）《汉语言文学基础》</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《语文教学与设计》</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《基础写作》和《文学批评》</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人文与教育学院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联系人：李老师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电话：13620801645</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E-mail：2468342865@qq.com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045104</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学科教学（数学）</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18</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不区分研究方向</w:t>
            </w:r>
          </w:p>
        </w:tc>
        <w:tc>
          <w:tcPr>
            <w:tcW w:w="327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r>
              <w:rPr>
                <w:rFonts w:hint="default" w:ascii="Tahoma" w:hAnsi="Tahoma" w:eastAsia="Tahoma" w:cs="Tahoma"/>
                <w:sz w:val="18"/>
                <w:szCs w:val="18"/>
                <w:bdr w:val="none" w:color="auto" w:sz="0" w:space="0"/>
              </w:rPr>
              <w:br w:type="textWrapping"/>
            </w:r>
            <w:r>
              <w:rPr>
                <w:rFonts w:hint="default" w:ascii="Tahoma" w:hAnsi="Tahoma" w:eastAsia="Tahoma" w:cs="Tahoma"/>
                <w:sz w:val="18"/>
                <w:szCs w:val="18"/>
                <w:bdr w:val="none" w:color="auto" w:sz="0" w:space="0"/>
              </w:rPr>
              <w:t>③（333）《教育综合》</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④（818）《数学专业综合》</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《中学数学教育学概论》</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《中学数学教学概论》和《数学分析》</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数学与大数据学院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联系人：吴老师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电话：13690557735</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E-mail：2315299414@qq.com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045108</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学科教学（英语）</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17</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不区分研究方向</w:t>
            </w:r>
          </w:p>
        </w:tc>
        <w:tc>
          <w:tcPr>
            <w:tcW w:w="327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③（333）《教育综合》</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④（819）《高级综合英语》</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《英语教学论》</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《基础综合英语》和《英汉互译》</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人文与教育学院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联系人：马老师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电话：15627292830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E-mail：68679696@qq.com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045114</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现代教育技术</w:t>
            </w:r>
          </w:p>
        </w:tc>
        <w:tc>
          <w:tcPr>
            <w:tcW w:w="11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24</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不区分研究方向</w:t>
            </w:r>
          </w:p>
        </w:tc>
        <w:tc>
          <w:tcPr>
            <w:tcW w:w="327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              </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③（333）《教育综合》</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④（820）《教育技术学》</w:t>
            </w:r>
          </w:p>
        </w:tc>
        <w:tc>
          <w:tcPr>
            <w:tcW w:w="307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《信息技术教育》</w:t>
            </w:r>
          </w:p>
        </w:tc>
        <w:tc>
          <w:tcPr>
            <w:tcW w:w="4245"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《教学系统设计》和《教育传播学》</w:t>
            </w:r>
          </w:p>
        </w:tc>
        <w:tc>
          <w:tcPr>
            <w:tcW w:w="2610" w:type="dxa"/>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人文与教育学院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联系人：李老师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电话：18923194052</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E-mail：fky_jyjsss818@163.com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0254</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国际商务硕士</w:t>
            </w:r>
          </w:p>
        </w:tc>
        <w:tc>
          <w:tcPr>
            <w:tcW w:w="144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025400</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国际商务</w:t>
            </w:r>
          </w:p>
        </w:tc>
        <w:tc>
          <w:tcPr>
            <w:tcW w:w="11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60</w:t>
            </w: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1.国际投资与风险控制</w:t>
            </w:r>
          </w:p>
        </w:tc>
        <w:tc>
          <w:tcPr>
            <w:tcW w:w="3270"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①（101）《思想政治理论》</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②（204）《英语二》</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③（303）《数学三》</w:t>
            </w:r>
          </w:p>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④（434）《国际商务专业基础》</w:t>
            </w:r>
          </w:p>
        </w:tc>
        <w:tc>
          <w:tcPr>
            <w:tcW w:w="307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《国际贸易》</w:t>
            </w:r>
          </w:p>
        </w:tc>
        <w:tc>
          <w:tcPr>
            <w:tcW w:w="4245" w:type="dxa"/>
            <w:vMerge w:val="restart"/>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《国际经济合作实务》和《中国对外贸易概论》</w:t>
            </w:r>
          </w:p>
        </w:tc>
        <w:tc>
          <w:tcPr>
            <w:tcW w:w="2610" w:type="dxa"/>
            <w:vMerge w:val="restart"/>
            <w:shd w:val="clear"/>
            <w:vAlign w:val="center"/>
          </w:tcPr>
          <w:p>
            <w:pPr>
              <w:pStyle w:val="2"/>
              <w:keepNext w:val="0"/>
              <w:keepLines w:val="0"/>
              <w:widowControl/>
              <w:suppressLineNumbers w:val="0"/>
              <w:spacing w:line="23" w:lineRule="atLeast"/>
              <w:jc w:val="center"/>
            </w:pPr>
            <w:r>
              <w:rPr>
                <w:rFonts w:hint="default" w:ascii="Tahoma" w:hAnsi="Tahoma" w:eastAsia="Tahoma" w:cs="Tahoma"/>
                <w:b/>
                <w:sz w:val="18"/>
                <w:szCs w:val="18"/>
                <w:bdr w:val="none" w:color="auto" w:sz="0" w:space="0"/>
              </w:rPr>
              <w:t>经济管理学院</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联系人：甘老师</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电话：18316976612</w:t>
            </w:r>
          </w:p>
          <w:p>
            <w:pPr>
              <w:pStyle w:val="2"/>
              <w:keepNext w:val="0"/>
              <w:keepLines w:val="0"/>
              <w:widowControl/>
              <w:suppressLineNumbers w:val="0"/>
              <w:spacing w:line="23" w:lineRule="atLeast"/>
              <w:jc w:val="center"/>
            </w:pPr>
            <w:r>
              <w:rPr>
                <w:rFonts w:hint="default" w:ascii="Tahoma" w:hAnsi="Tahoma" w:eastAsia="Tahoma" w:cs="Tahoma"/>
                <w:sz w:val="18"/>
                <w:szCs w:val="18"/>
                <w:bdr w:val="none" w:color="auto" w:sz="0" w:space="0"/>
              </w:rPr>
              <w:t>E-mail：ganyanfei@fosu.edu.cn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2.国际物流与跨境电商</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0" w:type="dxa"/>
            <w:vMerge w:val="continue"/>
            <w:shd w:val="clear"/>
            <w:vAlign w:val="center"/>
          </w:tcPr>
          <w:p>
            <w:pPr>
              <w:rPr>
                <w:rFonts w:hint="default" w:ascii="Tahoma" w:hAnsi="Tahoma" w:eastAsia="Tahoma" w:cs="Tahoma"/>
                <w:sz w:val="18"/>
                <w:szCs w:val="18"/>
              </w:rPr>
            </w:pPr>
          </w:p>
        </w:tc>
        <w:tc>
          <w:tcPr>
            <w:tcW w:w="1380" w:type="dxa"/>
            <w:vMerge w:val="continue"/>
            <w:shd w:val="clear"/>
            <w:vAlign w:val="center"/>
          </w:tcPr>
          <w:p>
            <w:pPr>
              <w:rPr>
                <w:rFonts w:hint="default" w:ascii="Tahoma" w:hAnsi="Tahoma" w:eastAsia="Tahoma" w:cs="Tahoma"/>
                <w:sz w:val="18"/>
                <w:szCs w:val="18"/>
              </w:rPr>
            </w:pPr>
          </w:p>
        </w:tc>
        <w:tc>
          <w:tcPr>
            <w:tcW w:w="1440" w:type="dxa"/>
            <w:vMerge w:val="continue"/>
            <w:shd w:val="clear"/>
            <w:vAlign w:val="center"/>
          </w:tcPr>
          <w:p>
            <w:pPr>
              <w:rPr>
                <w:rFonts w:hint="default" w:ascii="Tahoma" w:hAnsi="Tahoma" w:eastAsia="Tahoma" w:cs="Tahoma"/>
                <w:sz w:val="18"/>
                <w:szCs w:val="18"/>
              </w:rPr>
            </w:pPr>
          </w:p>
        </w:tc>
        <w:tc>
          <w:tcPr>
            <w:tcW w:w="1110" w:type="dxa"/>
            <w:vMerge w:val="continue"/>
            <w:shd w:val="clear"/>
            <w:vAlign w:val="center"/>
          </w:tcPr>
          <w:p>
            <w:pPr>
              <w:rPr>
                <w:rFonts w:hint="default" w:ascii="Tahoma" w:hAnsi="Tahoma" w:eastAsia="Tahoma" w:cs="Tahoma"/>
                <w:sz w:val="18"/>
                <w:szCs w:val="18"/>
              </w:rPr>
            </w:pPr>
          </w:p>
        </w:tc>
        <w:tc>
          <w:tcPr>
            <w:tcW w:w="2880" w:type="dxa"/>
            <w:shd w:val="clear"/>
            <w:vAlign w:val="center"/>
          </w:tcPr>
          <w:p>
            <w:pPr>
              <w:pStyle w:val="2"/>
              <w:keepNext w:val="0"/>
              <w:keepLines w:val="0"/>
              <w:widowControl/>
              <w:suppressLineNumbers w:val="0"/>
              <w:spacing w:line="23" w:lineRule="atLeast"/>
            </w:pPr>
            <w:r>
              <w:rPr>
                <w:rFonts w:hint="default" w:ascii="Tahoma" w:hAnsi="Tahoma" w:eastAsia="Tahoma" w:cs="Tahoma"/>
                <w:sz w:val="18"/>
                <w:szCs w:val="18"/>
                <w:bdr w:val="none" w:color="auto" w:sz="0" w:space="0"/>
              </w:rPr>
              <w:t>3.国际贸易与国际市场营销</w:t>
            </w:r>
          </w:p>
        </w:tc>
        <w:tc>
          <w:tcPr>
            <w:tcW w:w="3270" w:type="dxa"/>
            <w:vMerge w:val="continue"/>
            <w:shd w:val="clear"/>
            <w:vAlign w:val="center"/>
          </w:tcPr>
          <w:p>
            <w:pPr>
              <w:rPr>
                <w:rFonts w:hint="default" w:ascii="Tahoma" w:hAnsi="Tahoma" w:eastAsia="Tahoma" w:cs="Tahoma"/>
                <w:sz w:val="18"/>
                <w:szCs w:val="18"/>
              </w:rPr>
            </w:pPr>
          </w:p>
        </w:tc>
        <w:tc>
          <w:tcPr>
            <w:tcW w:w="3075" w:type="dxa"/>
            <w:vMerge w:val="continue"/>
            <w:shd w:val="clear"/>
            <w:vAlign w:val="center"/>
          </w:tcPr>
          <w:p>
            <w:pPr>
              <w:rPr>
                <w:rFonts w:hint="default" w:ascii="Tahoma" w:hAnsi="Tahoma" w:eastAsia="Tahoma" w:cs="Tahoma"/>
                <w:sz w:val="18"/>
                <w:szCs w:val="18"/>
              </w:rPr>
            </w:pPr>
          </w:p>
        </w:tc>
        <w:tc>
          <w:tcPr>
            <w:tcW w:w="4245" w:type="dxa"/>
            <w:vMerge w:val="continue"/>
            <w:shd w:val="clear"/>
            <w:vAlign w:val="center"/>
          </w:tcPr>
          <w:p>
            <w:pPr>
              <w:rPr>
                <w:rFonts w:hint="default" w:ascii="Tahoma" w:hAnsi="Tahoma" w:eastAsia="Tahoma" w:cs="Tahoma"/>
                <w:sz w:val="18"/>
                <w:szCs w:val="18"/>
              </w:rPr>
            </w:pPr>
          </w:p>
        </w:tc>
        <w:tc>
          <w:tcPr>
            <w:tcW w:w="2610" w:type="dxa"/>
            <w:vMerge w:val="continue"/>
            <w:shd w:val="clear"/>
            <w:vAlign w:val="center"/>
          </w:tcPr>
          <w:p>
            <w:pPr>
              <w:rPr>
                <w:rFonts w:hint="default" w:ascii="Tahoma" w:hAnsi="Tahoma" w:eastAsia="Tahoma" w:cs="Tahoma"/>
                <w:sz w:val="18"/>
                <w:szCs w:val="18"/>
              </w:rPr>
            </w:pPr>
          </w:p>
        </w:tc>
      </w:tr>
    </w:tbl>
    <w:p>
      <w:pPr>
        <w:pStyle w:val="2"/>
        <w:keepNext w:val="0"/>
        <w:keepLines w:val="0"/>
        <w:widowControl/>
        <w:suppressLineNumbers w:val="0"/>
      </w:pPr>
      <w:r>
        <w:rPr>
          <w:b/>
        </w:rPr>
        <w:t>备注：1.考试科目代码标注为333、339-341、343、434、710、801-820者为我校自命题科目，其他为全国统一命题科目。</w:t>
      </w:r>
    </w:p>
    <w:p>
      <w:pPr>
        <w:pStyle w:val="2"/>
        <w:keepNext w:val="0"/>
        <w:keepLines w:val="0"/>
        <w:widowControl/>
        <w:suppressLineNumbers w:val="0"/>
      </w:pPr>
      <w:r>
        <w:rPr>
          <w:b/>
        </w:rPr>
        <w:t>2.机械工程、兽医学、土木工程等三个专业拟接收推免生人数为各2个，其他专业拟接收推免生人数为各1个,各专业拟接收推免生人数包含在拟招生人数中。</w:t>
      </w:r>
    </w:p>
    <w:p>
      <w:pPr>
        <w:pStyle w:val="2"/>
        <w:keepNext w:val="0"/>
        <w:keepLines w:val="0"/>
        <w:widowControl/>
        <w:suppressLineNumbers w:val="0"/>
      </w:pPr>
      <w:r>
        <w:rPr>
          <w:b/>
        </w:rPr>
        <w:t>3.各专业拟招生人数大致为2020年录取人数，仅供参考。2021年各专业实际招生计划以我校复试前公布的为准（我校将根据上级主管部门最终下达的招生计划总额并依据招生计划分配方案对各专业招生计划另行分配或调整）。</w:t>
      </w:r>
    </w:p>
    <w:p>
      <w:pPr>
        <w:rPr>
          <w:rFonts w:hint="default"/>
          <w:lang w:val="en-US" w:eastAsia="zh-CN"/>
        </w:rPr>
      </w:pPr>
      <w:r>
        <w:rPr>
          <w:rFonts w:hint="eastAsia"/>
          <w:lang w:val="en-US" w:eastAsia="zh-CN"/>
        </w:rPr>
        <w:t>原文链接：</w:t>
      </w:r>
      <w:r>
        <w:rPr>
          <w:rFonts w:hint="eastAsia"/>
          <w:lang w:val="en-US" w:eastAsia="zh-CN"/>
        </w:rPr>
        <w:fldChar w:fldCharType="begin"/>
      </w:r>
      <w:r>
        <w:rPr>
          <w:rFonts w:hint="eastAsia"/>
          <w:lang w:val="en-US" w:eastAsia="zh-CN"/>
        </w:rPr>
        <w:instrText xml:space="preserve"> HYPERLINK "https://web.fosu.edu.cn/yanjiusheng/%e6%8b%9b%e7%94%9f%e5%b7%a5%e4%bd%9c/zsdt-zsgz/8449.html" </w:instrText>
      </w:r>
      <w:r>
        <w:rPr>
          <w:rFonts w:hint="eastAsia"/>
          <w:lang w:val="en-US" w:eastAsia="zh-CN"/>
        </w:rPr>
        <w:fldChar w:fldCharType="separate"/>
      </w:r>
      <w:r>
        <w:rPr>
          <w:rStyle w:val="6"/>
          <w:rFonts w:hint="eastAsia"/>
          <w:lang w:val="en-US" w:eastAsia="zh-CN"/>
        </w:rPr>
        <w:t>https://web.fosu.edu.cn/yanjiusheng/%e6%8b%9b%e7%94%9f%e5%b7%a5%e4%bd%9c/zsdt-zsgz/8449.html</w:t>
      </w:r>
      <w:r>
        <w:rPr>
          <w:rFonts w:hint="eastAsia"/>
          <w:lang w:val="en-US" w:eastAsia="zh-CN"/>
        </w:rPr>
        <w:fldChar w:fldCharType="end"/>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039CF"/>
    <w:rsid w:val="050039CF"/>
    <w:rsid w:val="3B3C0EB7"/>
    <w:rsid w:val="5C1D0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2020-09-21T04:19:00Z</dcterms:created>
  <dc:creator>sunshine</dc:creator>
  <cp:lastModifiedBy>sunshine</cp:lastModifiedBy>
  <dcterms:modified xsi:type="dcterms:W3CDTF">2020-09-21T04:25:16Z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