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rPr>
        <w:t>附件</w:t>
      </w:r>
      <w:r>
        <w:t>2</w:t>
      </w:r>
      <w:r>
        <w:rPr>
          <w:rFonts w:hint="eastAsia"/>
        </w:rPr>
        <w:t>：</w:t>
      </w:r>
    </w:p>
    <w:p>
      <w:pPr>
        <w:jc w:val="center"/>
        <w:rPr>
          <w:rFonts w:ascii="Calibri" w:hAnsi="Calibri" w:eastAsia="仿宋" w:cs="Calibri"/>
          <w:b/>
          <w:bCs/>
          <w:color w:val="000000"/>
          <w:sz w:val="28"/>
          <w:szCs w:val="28"/>
        </w:rPr>
      </w:pPr>
      <w:r>
        <w:rPr>
          <w:rFonts w:hint="eastAsia" w:ascii="Calibri" w:hAnsi="Calibri" w:eastAsia="仿宋" w:cs="Calibri"/>
          <w:b/>
          <w:bCs/>
          <w:color w:val="000000"/>
          <w:sz w:val="28"/>
          <w:szCs w:val="28"/>
        </w:rPr>
        <w:t>湖北中医药大学2</w:t>
      </w:r>
      <w:r>
        <w:rPr>
          <w:rFonts w:ascii="Calibri" w:hAnsi="Calibri" w:eastAsia="仿宋" w:cs="Calibri"/>
          <w:b/>
          <w:bCs/>
          <w:color w:val="000000"/>
          <w:sz w:val="28"/>
          <w:szCs w:val="28"/>
        </w:rPr>
        <w:t>02</w:t>
      </w:r>
      <w:r>
        <w:rPr>
          <w:rFonts w:hint="eastAsia" w:ascii="Calibri" w:hAnsi="Calibri" w:eastAsia="仿宋" w:cs="Calibri"/>
          <w:b/>
          <w:bCs/>
          <w:color w:val="000000"/>
          <w:sz w:val="28"/>
          <w:szCs w:val="28"/>
          <w:lang w:val="en-US" w:eastAsia="zh-CN"/>
        </w:rPr>
        <w:t>2</w:t>
      </w:r>
      <w:r>
        <w:rPr>
          <w:rFonts w:hint="eastAsia" w:ascii="Calibri" w:hAnsi="Calibri" w:eastAsia="仿宋" w:cs="Calibri"/>
          <w:b/>
          <w:bCs/>
          <w:color w:val="000000"/>
          <w:sz w:val="28"/>
          <w:szCs w:val="28"/>
        </w:rPr>
        <w:t>年杏林强基计划招生导师简介</w:t>
      </w:r>
    </w:p>
    <w:p>
      <w:pPr>
        <w:jc w:val="center"/>
        <w:rPr>
          <w:rFonts w:ascii="Calibri" w:hAnsi="Calibri" w:eastAsia="仿宋" w:cs="Calibri"/>
          <w:b/>
          <w:bCs/>
          <w:color w:val="000000"/>
          <w:sz w:val="28"/>
          <w:szCs w:val="28"/>
        </w:rPr>
      </w:pPr>
    </w:p>
    <w:p>
      <w:pPr>
        <w:jc w:val="center"/>
        <w:rPr>
          <w:rFonts w:ascii="Calibri" w:hAnsi="Calibri" w:eastAsia="仿宋" w:cs="Calibri"/>
          <w:b/>
          <w:bCs/>
          <w:color w:val="000000"/>
          <w:sz w:val="28"/>
          <w:szCs w:val="28"/>
        </w:rPr>
      </w:pPr>
      <w:r>
        <w:drawing>
          <wp:inline distT="0" distB="0" distL="0" distR="0">
            <wp:extent cx="4286250" cy="28289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286250" cy="2828925"/>
                    </a:xfrm>
                    <a:prstGeom prst="rect">
                      <a:avLst/>
                    </a:prstGeom>
                    <a:noFill/>
                    <a:ln>
                      <a:noFill/>
                    </a:ln>
                  </pic:spPr>
                </pic:pic>
              </a:graphicData>
            </a:graphic>
          </wp:inline>
        </w:drawing>
      </w:r>
      <w:bookmarkStart w:id="1" w:name="_GoBack"/>
      <w:bookmarkEnd w:id="1"/>
    </w:p>
    <w:p>
      <w:pPr>
        <w:jc w:val="center"/>
        <w:rPr>
          <w:b/>
          <w:bCs/>
          <w:sz w:val="28"/>
          <w:szCs w:val="32"/>
        </w:rPr>
      </w:pPr>
      <w:r>
        <w:rPr>
          <w:rFonts w:hint="eastAsia"/>
          <w:b/>
          <w:bCs/>
          <w:sz w:val="28"/>
          <w:szCs w:val="32"/>
        </w:rPr>
        <w:t>吕文亮教授</w:t>
      </w:r>
    </w:p>
    <w:p>
      <w:pPr>
        <w:spacing w:line="360" w:lineRule="auto"/>
        <w:ind w:firstLine="560" w:firstLineChars="200"/>
        <w:rPr>
          <w:rFonts w:ascii="仿宋" w:hAnsi="仿宋" w:eastAsia="仿宋"/>
          <w:sz w:val="28"/>
          <w:szCs w:val="28"/>
        </w:rPr>
      </w:pPr>
      <w:bookmarkStart w:id="0" w:name="_Hlk50547340"/>
      <w:r>
        <w:rPr>
          <w:rFonts w:hint="eastAsia" w:ascii="仿宋" w:hAnsi="仿宋" w:eastAsia="仿宋"/>
          <w:sz w:val="28"/>
          <w:szCs w:val="28"/>
        </w:rPr>
        <w:t>教授、博士生导师。现任湖北中医药大学校长、党委副书记，兼任湖北中医药大学疫病研究所所长、双一流学科中医学带头人、中华中医药学会感染病分会副会长、中国高等教育学会理事、湖北省中医药学会副会长。为中医温病（感染病）领域知名专家，主要研究方向为病证结合模式下运用疫病理论防治重大感染性疾病的研究及症候标准化研究。曾主持包括国家科技重点研发计划“应对新冠肺炎中药方剂的真实世界临床研究”项目在内的各级各类课题</w:t>
      </w:r>
      <w:r>
        <w:rPr>
          <w:rFonts w:ascii="仿宋" w:hAnsi="仿宋" w:eastAsia="仿宋"/>
          <w:sz w:val="28"/>
          <w:szCs w:val="28"/>
        </w:rPr>
        <w:t>13项，获得包括湖北省教学成果一等奖在内的各类奖项12项。发表学术论文 80余篇，其中</w:t>
      </w:r>
      <w:r>
        <w:rPr>
          <w:rFonts w:hint="eastAsia" w:ascii="仿宋" w:hAnsi="仿宋" w:eastAsia="仿宋"/>
          <w:sz w:val="28"/>
          <w:szCs w:val="28"/>
          <w:lang w:eastAsia="zh-CN"/>
        </w:rPr>
        <w:t>发表高水平学术论文</w:t>
      </w:r>
      <w:r>
        <w:rPr>
          <w:rFonts w:hint="eastAsia" w:ascii="仿宋" w:hAnsi="仿宋" w:eastAsia="仿宋"/>
          <w:sz w:val="28"/>
          <w:szCs w:val="28"/>
          <w:lang w:val="en-US" w:eastAsia="zh-CN"/>
        </w:rPr>
        <w:t>5</w:t>
      </w:r>
      <w:r>
        <w:rPr>
          <w:rFonts w:ascii="仿宋" w:hAnsi="仿宋" w:eastAsia="仿宋"/>
          <w:sz w:val="28"/>
          <w:szCs w:val="28"/>
        </w:rPr>
        <w:t>篇，主编《脾胃</w:t>
      </w:r>
      <w:r>
        <w:rPr>
          <w:rFonts w:hint="eastAsia" w:ascii="仿宋" w:hAnsi="仿宋" w:eastAsia="仿宋"/>
          <w:sz w:val="28"/>
          <w:szCs w:val="28"/>
        </w:rPr>
        <w:t>病证治精要》等著作</w:t>
      </w:r>
      <w:r>
        <w:rPr>
          <w:rFonts w:ascii="仿宋" w:hAnsi="仿宋" w:eastAsia="仿宋"/>
          <w:sz w:val="28"/>
          <w:szCs w:val="28"/>
        </w:rPr>
        <w:t>8部。</w:t>
      </w:r>
    </w:p>
    <w:p>
      <w:pPr>
        <w:spacing w:line="360" w:lineRule="auto"/>
        <w:ind w:firstLine="562" w:firstLineChars="200"/>
        <w:rPr>
          <w:rFonts w:ascii="仿宋" w:hAnsi="仿宋" w:eastAsia="仿宋"/>
          <w:sz w:val="28"/>
          <w:szCs w:val="28"/>
        </w:rPr>
      </w:pPr>
      <w:r>
        <w:rPr>
          <w:rFonts w:hint="eastAsia" w:ascii="仿宋" w:hAnsi="仿宋" w:eastAsia="仿宋"/>
          <w:b/>
          <w:bCs/>
          <w:sz w:val="28"/>
          <w:szCs w:val="28"/>
        </w:rPr>
        <w:t>【招生专业】：</w:t>
      </w:r>
      <w:r>
        <w:rPr>
          <w:rFonts w:hint="eastAsia" w:ascii="仿宋" w:hAnsi="仿宋" w:eastAsia="仿宋"/>
          <w:sz w:val="28"/>
          <w:szCs w:val="28"/>
        </w:rPr>
        <w:t>中医临床基础（100502）</w:t>
      </w:r>
    </w:p>
    <w:p>
      <w:pPr>
        <w:spacing w:line="360" w:lineRule="auto"/>
        <w:ind w:firstLine="562" w:firstLineChars="200"/>
        <w:rPr>
          <w:rFonts w:ascii="仿宋" w:hAnsi="仿宋" w:eastAsia="仿宋"/>
          <w:sz w:val="28"/>
          <w:szCs w:val="28"/>
        </w:rPr>
      </w:pPr>
      <w:r>
        <w:rPr>
          <w:rFonts w:hint="eastAsia" w:ascii="仿宋" w:hAnsi="仿宋" w:eastAsia="仿宋"/>
          <w:b/>
          <w:bCs/>
          <w:sz w:val="28"/>
          <w:szCs w:val="28"/>
        </w:rPr>
        <w:t>【研究方向】：</w:t>
      </w:r>
      <w:r>
        <w:rPr>
          <w:rFonts w:ascii="仿宋" w:hAnsi="仿宋" w:eastAsia="仿宋"/>
          <w:sz w:val="28"/>
          <w:szCs w:val="28"/>
        </w:rPr>
        <w:t>运用温病理论防治临床重大感染性疾病的研究</w:t>
      </w:r>
    </w:p>
    <w:p>
      <w:pPr>
        <w:spacing w:line="360" w:lineRule="auto"/>
        <w:ind w:firstLine="562" w:firstLineChars="200"/>
        <w:rPr>
          <w:rFonts w:ascii="仿宋" w:hAnsi="仿宋" w:eastAsia="仿宋"/>
          <w:sz w:val="28"/>
          <w:szCs w:val="28"/>
        </w:rPr>
      </w:pPr>
      <w:r>
        <w:rPr>
          <w:rFonts w:hint="eastAsia" w:ascii="仿宋" w:hAnsi="仿宋" w:eastAsia="仿宋"/>
          <w:b/>
          <w:bCs/>
          <w:sz w:val="28"/>
          <w:szCs w:val="28"/>
        </w:rPr>
        <w:t>【招生人数】：</w:t>
      </w:r>
      <w:r>
        <w:rPr>
          <w:rFonts w:hint="eastAsia" w:ascii="仿宋" w:hAnsi="仿宋" w:eastAsia="仿宋"/>
          <w:sz w:val="28"/>
          <w:szCs w:val="28"/>
        </w:rPr>
        <w:t>1</w:t>
      </w:r>
      <w:r>
        <w:rPr>
          <w:rFonts w:ascii="仿宋" w:hAnsi="仿宋" w:eastAsia="仿宋"/>
          <w:sz w:val="28"/>
          <w:szCs w:val="28"/>
        </w:rPr>
        <w:t>-2</w:t>
      </w:r>
      <w:r>
        <w:rPr>
          <w:rFonts w:hint="eastAsia" w:ascii="仿宋" w:hAnsi="仿宋" w:eastAsia="仿宋"/>
          <w:sz w:val="28"/>
          <w:szCs w:val="28"/>
        </w:rPr>
        <w:t>名</w:t>
      </w:r>
    </w:p>
    <w:bookmarkEnd w:id="0"/>
    <w:p>
      <w:pPr>
        <w:rPr>
          <w:rFonts w:ascii="仿宋" w:hAnsi="仿宋" w:eastAsia="仿宋"/>
          <w:sz w:val="24"/>
          <w:szCs w:val="24"/>
        </w:rPr>
      </w:pPr>
    </w:p>
    <w:p>
      <w:pPr>
        <w:jc w:val="center"/>
      </w:pPr>
      <w:r>
        <w:rPr>
          <w:rFonts w:hint="eastAsia"/>
        </w:rPr>
        <w:drawing>
          <wp:inline distT="0" distB="0" distL="114300" distR="114300">
            <wp:extent cx="1458595" cy="1945640"/>
            <wp:effectExtent l="0" t="0" r="8255" b="16510"/>
            <wp:docPr id="2" name="图片 2" descr="422432197504076522梁凤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22432197504076522梁凤霞"/>
                    <pic:cNvPicPr>
                      <a:picLocks noChangeAspect="1"/>
                    </pic:cNvPicPr>
                  </pic:nvPicPr>
                  <pic:blipFill>
                    <a:blip r:embed="rId6" cstate="print"/>
                    <a:stretch>
                      <a:fillRect/>
                    </a:stretch>
                  </pic:blipFill>
                  <pic:spPr>
                    <a:xfrm>
                      <a:off x="0" y="0"/>
                      <a:ext cx="1458595" cy="1945640"/>
                    </a:xfrm>
                    <a:prstGeom prst="rect">
                      <a:avLst/>
                    </a:prstGeom>
                  </pic:spPr>
                </pic:pic>
              </a:graphicData>
            </a:graphic>
          </wp:inline>
        </w:drawing>
      </w:r>
    </w:p>
    <w:p/>
    <w:p>
      <w:pPr>
        <w:ind w:firstLine="480" w:firstLineChars="200"/>
        <w:rPr>
          <w:rFonts w:hint="eastAsia" w:ascii="仿宋" w:hAnsi="仿宋" w:eastAsia="仿宋"/>
          <w:sz w:val="28"/>
          <w:szCs w:val="28"/>
        </w:rPr>
      </w:pPr>
      <w:r>
        <w:rPr>
          <w:rFonts w:hint="eastAsia" w:ascii="宋体" w:hAnsi="宋体"/>
          <w:sz w:val="24"/>
        </w:rPr>
        <w:t xml:space="preserve"> </w:t>
      </w:r>
      <w:r>
        <w:rPr>
          <w:rFonts w:hint="eastAsia" w:ascii="仿宋" w:hAnsi="仿宋" w:eastAsia="仿宋"/>
          <w:sz w:val="28"/>
          <w:szCs w:val="28"/>
        </w:rPr>
        <w:t>梁凤霞，教授，博士生导师，现任湖北中医药大学针灸骨伤学院副院长，湖北中医药大学针灸研究所常务副所长，针灸治未病湖北省协同创新中心常务副主任，世界针灸学会联合会教育工作委员会副主任委员兼秘书长，中国针灸学会针灸治未病专业委员会副主任委员兼秘书长，中国针灸学会针灸技术评估工作委员会常务理事。</w:t>
      </w:r>
    </w:p>
    <w:p>
      <w:pPr>
        <w:ind w:firstLine="560" w:firstLineChars="200"/>
        <w:rPr>
          <w:rFonts w:hint="eastAsia" w:ascii="仿宋" w:hAnsi="仿宋" w:eastAsia="仿宋"/>
          <w:sz w:val="28"/>
          <w:szCs w:val="28"/>
        </w:rPr>
      </w:pPr>
      <w:r>
        <w:rPr>
          <w:rFonts w:hint="eastAsia" w:ascii="仿宋" w:hAnsi="仿宋" w:eastAsia="仿宋"/>
          <w:sz w:val="28"/>
          <w:szCs w:val="28"/>
        </w:rPr>
        <w:t>主要研究方向是针灸防治肥胖等胰岛素抵抗相关疾病效应和机制。曾在日本金泽医科大学留学，入选湖北省新世纪高层次人才工程、湖北省政府津贴专家、“岐黄工程”第四批全国中医优秀人才，主持国家自然科学基金项目、教育部归国留学人员启动基金等国家和省部级课题7项，以第一作者或通讯作者发表论文60余篇，其中</w:t>
      </w:r>
      <w:r>
        <w:rPr>
          <w:rFonts w:hint="eastAsia" w:ascii="仿宋" w:hAnsi="仿宋" w:eastAsia="仿宋"/>
          <w:sz w:val="28"/>
          <w:szCs w:val="28"/>
          <w:lang w:eastAsia="zh-CN"/>
        </w:rPr>
        <w:t>高水平学术论文</w:t>
      </w:r>
      <w:r>
        <w:rPr>
          <w:rFonts w:hint="eastAsia" w:ascii="仿宋" w:hAnsi="仿宋" w:eastAsia="仿宋"/>
          <w:sz w:val="28"/>
          <w:szCs w:val="28"/>
        </w:rPr>
        <w:t>25篇，获得湖北省科技进步二等奖等奖励7项。</w:t>
      </w:r>
    </w:p>
    <w:p>
      <w:pPr>
        <w:rPr>
          <w:rFonts w:ascii="宋体" w:hAnsi="宋体"/>
          <w:sz w:val="24"/>
        </w:rPr>
      </w:pPr>
    </w:p>
    <w:p>
      <w:pPr>
        <w:ind w:firstLine="562" w:firstLineChars="200"/>
        <w:rPr>
          <w:rFonts w:ascii="宋体" w:hAnsi="宋体"/>
          <w:sz w:val="24"/>
        </w:rPr>
      </w:pPr>
      <w:r>
        <w:rPr>
          <w:rFonts w:hint="eastAsia" w:ascii="仿宋" w:hAnsi="仿宋" w:eastAsia="仿宋"/>
          <w:b/>
          <w:bCs/>
          <w:sz w:val="28"/>
          <w:szCs w:val="28"/>
        </w:rPr>
        <w:t>【招生专业】：</w:t>
      </w:r>
      <w:r>
        <w:rPr>
          <w:rFonts w:hint="eastAsia" w:ascii="仿宋" w:hAnsi="仿宋" w:eastAsia="仿宋"/>
          <w:sz w:val="28"/>
          <w:szCs w:val="28"/>
        </w:rPr>
        <w:t>针灸推拿学(100512)</w:t>
      </w:r>
    </w:p>
    <w:p>
      <w:pPr>
        <w:ind w:firstLine="562" w:firstLineChars="200"/>
        <w:rPr>
          <w:rFonts w:ascii="宋体" w:hAnsi="宋体"/>
          <w:sz w:val="24"/>
        </w:rPr>
      </w:pPr>
      <w:r>
        <w:rPr>
          <w:rFonts w:hint="eastAsia" w:ascii="仿宋" w:hAnsi="仿宋" w:eastAsia="仿宋"/>
          <w:b/>
          <w:bCs/>
          <w:sz w:val="28"/>
          <w:szCs w:val="28"/>
        </w:rPr>
        <w:t>【研究方向】：</w:t>
      </w:r>
      <w:r>
        <w:rPr>
          <w:rFonts w:hint="eastAsia" w:ascii="仿宋" w:hAnsi="仿宋" w:eastAsia="仿宋"/>
          <w:sz w:val="28"/>
          <w:szCs w:val="28"/>
        </w:rPr>
        <w:t>针灸防治胰岛素抵抗相关疾病效应和机制</w:t>
      </w:r>
    </w:p>
    <w:p>
      <w:pPr>
        <w:ind w:firstLine="562" w:firstLineChars="200"/>
        <w:rPr>
          <w:rFonts w:ascii="宋体" w:hAnsi="宋体"/>
          <w:sz w:val="24"/>
        </w:rPr>
      </w:pPr>
      <w:r>
        <w:rPr>
          <w:rFonts w:hint="eastAsia" w:ascii="仿宋" w:hAnsi="仿宋" w:eastAsia="仿宋"/>
          <w:b/>
          <w:bCs/>
          <w:sz w:val="28"/>
          <w:szCs w:val="28"/>
        </w:rPr>
        <w:t>【招生人数】：</w:t>
      </w:r>
      <w:r>
        <w:rPr>
          <w:rFonts w:hint="eastAsia" w:ascii="仿宋" w:hAnsi="仿宋" w:eastAsia="仿宋"/>
          <w:sz w:val="28"/>
          <w:szCs w:val="28"/>
        </w:rPr>
        <w:t>1人</w:t>
      </w: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jc w:val="center"/>
      </w:pPr>
      <w:r>
        <w:drawing>
          <wp:inline distT="0" distB="0" distL="0" distR="0">
            <wp:extent cx="3890645" cy="2618740"/>
            <wp:effectExtent l="0" t="0" r="14605" b="10160"/>
            <wp:docPr id="3" name="图片 1"/>
            <wp:cNvGraphicFramePr/>
            <a:graphic xmlns:a="http://schemas.openxmlformats.org/drawingml/2006/main">
              <a:graphicData uri="http://schemas.openxmlformats.org/drawingml/2006/picture">
                <pic:pic xmlns:pic="http://schemas.openxmlformats.org/drawingml/2006/picture">
                  <pic:nvPicPr>
                    <pic:cNvPr id="3" name="图片 1"/>
                    <pic:cNvPicPr/>
                  </pic:nvPicPr>
                  <pic:blipFill>
                    <a:blip r:embed="rId7">
                      <a:extLst>
                        <a:ext uri="{BEBA8EAE-BF5A-486C-A8C5-ECC9F3942E4B}">
                          <a14:imgProps xmlns:a14="http://schemas.microsoft.com/office/drawing/2010/main">
                            <a14:imgLayer r:embed="rId8">
                              <a14:imgEffect>
                                <a14:sharpenSoften amount="25000"/>
                              </a14:imgEffect>
                            </a14:imgLayer>
                          </a14:imgProps>
                        </a:ext>
                      </a:extLst>
                    </a:blip>
                    <a:srcRect l="5469" t="23294" r="9587"/>
                    <a:stretch>
                      <a:fillRect/>
                    </a:stretch>
                  </pic:blipFill>
                  <pic:spPr>
                    <a:xfrm>
                      <a:off x="0" y="0"/>
                      <a:ext cx="3894914" cy="2621482"/>
                    </a:xfrm>
                    <a:prstGeom prst="rect">
                      <a:avLst/>
                    </a:prstGeom>
                  </pic:spPr>
                </pic:pic>
              </a:graphicData>
            </a:graphic>
          </wp:inline>
        </w:drawing>
      </w:r>
    </w:p>
    <w:p>
      <w:pPr>
        <w:jc w:val="center"/>
        <w:rPr>
          <w:rFonts w:ascii="幼圆" w:eastAsia="幼圆"/>
          <w:sz w:val="28"/>
          <w:szCs w:val="28"/>
        </w:rPr>
      </w:pPr>
      <w:r>
        <w:rPr>
          <w:rFonts w:hint="eastAsia" w:ascii="幼圆" w:eastAsia="幼圆"/>
          <w:sz w:val="28"/>
          <w:szCs w:val="28"/>
        </w:rPr>
        <w:t>杜艳军</w:t>
      </w:r>
    </w:p>
    <w:p>
      <w:pPr>
        <w:spacing w:line="540" w:lineRule="exact"/>
        <w:ind w:firstLine="560" w:firstLineChars="200"/>
        <w:rPr>
          <w:rFonts w:ascii="仿宋" w:hAnsi="仿宋" w:eastAsia="仿宋"/>
          <w:sz w:val="28"/>
          <w:szCs w:val="28"/>
        </w:rPr>
      </w:pPr>
      <w:r>
        <w:rPr>
          <w:rFonts w:hint="eastAsia" w:ascii="仿宋" w:hAnsi="仿宋" w:eastAsia="仿宋"/>
          <w:sz w:val="28"/>
          <w:szCs w:val="28"/>
        </w:rPr>
        <w:t>教授，博士生导师。</w:t>
      </w:r>
      <w:r>
        <w:rPr>
          <w:rFonts w:hint="eastAsia" w:ascii="仿宋" w:hAnsi="仿宋" w:eastAsia="仿宋"/>
          <w:kern w:val="0"/>
          <w:sz w:val="28"/>
          <w:szCs w:val="28"/>
        </w:rPr>
        <w:t>现任湖北中医药大学针灸基础教研室主任，兼任世界针联武汉中医针灸传承基地执行主任、中国针灸学会青年科学工作委员会副主任委员、脑病专业委员会常务委员、针灸手法量学专业委员会常务委员、耳穴诊治专业委员会常务委员、学科与学术专业委员会委员及武汉市针灸学会副会长。</w:t>
      </w:r>
      <w:r>
        <w:rPr>
          <w:rFonts w:ascii="仿宋" w:hAnsi="仿宋" w:eastAsia="仿宋"/>
          <w:kern w:val="0"/>
          <w:sz w:val="28"/>
          <w:szCs w:val="28"/>
        </w:rPr>
        <w:t>主要研究方向为以神经退行性疾病模型为研究载体的</w:t>
      </w:r>
      <w:r>
        <w:rPr>
          <w:rFonts w:hint="eastAsia" w:ascii="仿宋" w:hAnsi="仿宋" w:eastAsia="仿宋"/>
          <w:kern w:val="0"/>
          <w:sz w:val="28"/>
          <w:szCs w:val="28"/>
        </w:rPr>
        <w:t>针</w:t>
      </w:r>
      <w:r>
        <w:rPr>
          <w:rFonts w:hint="eastAsia" w:ascii="仿宋" w:hAnsi="仿宋" w:eastAsia="仿宋"/>
          <w:sz w:val="28"/>
          <w:szCs w:val="28"/>
        </w:rPr>
        <w:t>灸调节神经-内分泌-免疫网络机制研究。已主持国家自然科学基金5项，参与包括973项目在内的各级各类课题12项，获得包括中国针灸学会科学技术二等奖、省科技进步三等奖、中国针灸优秀青年科技工作者在内的各类奖项12项。发表</w:t>
      </w:r>
      <w:r>
        <w:rPr>
          <w:rFonts w:hint="eastAsia" w:ascii="仿宋" w:hAnsi="仿宋" w:eastAsia="仿宋"/>
          <w:sz w:val="28"/>
          <w:szCs w:val="28"/>
          <w:lang w:eastAsia="zh-CN"/>
        </w:rPr>
        <w:t>高水平学术</w:t>
      </w:r>
      <w:r>
        <w:rPr>
          <w:rFonts w:hint="eastAsia" w:ascii="仿宋" w:hAnsi="仿宋" w:eastAsia="仿宋"/>
          <w:sz w:val="28"/>
          <w:szCs w:val="28"/>
        </w:rPr>
        <w:t>论文60余篇，主编或参编国家规划教材及著作16部。</w:t>
      </w:r>
    </w:p>
    <w:p>
      <w:pPr>
        <w:spacing w:line="540" w:lineRule="exact"/>
        <w:ind w:firstLine="562" w:firstLineChars="200"/>
        <w:rPr>
          <w:rFonts w:ascii="仿宋" w:hAnsi="仿宋" w:eastAsia="仿宋"/>
          <w:sz w:val="28"/>
          <w:szCs w:val="28"/>
        </w:rPr>
      </w:pPr>
      <w:r>
        <w:rPr>
          <w:rFonts w:hint="eastAsia" w:ascii="仿宋" w:hAnsi="仿宋" w:eastAsia="仿宋"/>
          <w:b/>
          <w:bCs/>
          <w:sz w:val="28"/>
          <w:szCs w:val="28"/>
        </w:rPr>
        <w:t>【招生专业】：</w:t>
      </w:r>
      <w:r>
        <w:rPr>
          <w:rFonts w:hint="eastAsia" w:ascii="仿宋" w:hAnsi="仿宋" w:eastAsia="仿宋"/>
          <w:sz w:val="28"/>
          <w:szCs w:val="28"/>
        </w:rPr>
        <w:t>针灸推拿学</w:t>
      </w:r>
      <w:r>
        <w:rPr>
          <w:rFonts w:hint="eastAsia" w:ascii="仿宋" w:hAnsi="仿宋" w:eastAsia="仿宋"/>
          <w:sz w:val="28"/>
          <w:szCs w:val="28"/>
          <w:lang w:eastAsia="zh-CN"/>
        </w:rPr>
        <w:t>（</w:t>
      </w:r>
      <w:r>
        <w:rPr>
          <w:rFonts w:hint="eastAsia" w:ascii="仿宋" w:hAnsi="仿宋" w:eastAsia="仿宋"/>
          <w:sz w:val="28"/>
          <w:szCs w:val="28"/>
        </w:rPr>
        <w:t>100512</w:t>
      </w:r>
      <w:r>
        <w:rPr>
          <w:rFonts w:hint="eastAsia" w:ascii="仿宋" w:hAnsi="仿宋" w:eastAsia="仿宋"/>
          <w:sz w:val="28"/>
          <w:szCs w:val="28"/>
          <w:lang w:eastAsia="zh-CN"/>
        </w:rPr>
        <w:t>）</w:t>
      </w:r>
    </w:p>
    <w:p>
      <w:pPr>
        <w:spacing w:line="540" w:lineRule="exact"/>
        <w:ind w:firstLine="562" w:firstLineChars="200"/>
        <w:rPr>
          <w:rFonts w:ascii="仿宋" w:hAnsi="仿宋" w:eastAsia="仿宋"/>
          <w:sz w:val="28"/>
          <w:szCs w:val="28"/>
        </w:rPr>
      </w:pPr>
      <w:r>
        <w:rPr>
          <w:rFonts w:hint="eastAsia" w:ascii="仿宋" w:hAnsi="仿宋" w:eastAsia="仿宋"/>
          <w:b/>
          <w:bCs/>
          <w:sz w:val="28"/>
          <w:szCs w:val="28"/>
        </w:rPr>
        <w:t>【研究方向】：</w:t>
      </w:r>
      <w:r>
        <w:rPr>
          <w:rFonts w:hint="eastAsia" w:ascii="仿宋" w:hAnsi="仿宋" w:eastAsia="仿宋"/>
          <w:kern w:val="0"/>
          <w:sz w:val="28"/>
          <w:szCs w:val="28"/>
        </w:rPr>
        <w:t>针</w:t>
      </w:r>
      <w:r>
        <w:rPr>
          <w:rFonts w:hint="eastAsia" w:ascii="仿宋" w:hAnsi="仿宋" w:eastAsia="仿宋"/>
          <w:sz w:val="28"/>
          <w:szCs w:val="28"/>
        </w:rPr>
        <w:t>灸调节神经-内分泌-免疫网络机制研究</w:t>
      </w:r>
    </w:p>
    <w:p>
      <w:pPr>
        <w:spacing w:line="540" w:lineRule="exact"/>
        <w:ind w:firstLine="562" w:firstLineChars="200"/>
        <w:rPr>
          <w:rFonts w:ascii="宋体" w:hAnsi="宋体" w:eastAsia="宋体" w:cs="宋体"/>
          <w:kern w:val="0"/>
          <w:szCs w:val="21"/>
        </w:rPr>
      </w:pPr>
      <w:r>
        <w:rPr>
          <w:rFonts w:hint="eastAsia" w:ascii="仿宋" w:hAnsi="仿宋" w:eastAsia="仿宋"/>
          <w:b/>
          <w:bCs/>
          <w:sz w:val="28"/>
          <w:szCs w:val="28"/>
        </w:rPr>
        <w:t>【招生人数】：</w:t>
      </w:r>
      <w:r>
        <w:rPr>
          <w:rFonts w:hint="eastAsia" w:ascii="仿宋" w:hAnsi="仿宋" w:eastAsia="仿宋"/>
          <w:sz w:val="28"/>
          <w:szCs w:val="28"/>
        </w:rPr>
        <w:t>1名</w:t>
      </w: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spacing w:line="276" w:lineRule="auto"/>
        <w:ind w:firstLine="420" w:firstLineChars="200"/>
        <w:jc w:val="center"/>
        <w:rPr>
          <w:rFonts w:ascii="仿宋" w:hAnsi="仿宋" w:eastAsia="仿宋"/>
          <w:sz w:val="28"/>
          <w:szCs w:val="28"/>
        </w:rPr>
      </w:pPr>
      <w:r>
        <w:drawing>
          <wp:inline distT="0" distB="0" distL="0" distR="0">
            <wp:extent cx="2890520" cy="2886075"/>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905860" cy="2900952"/>
                    </a:xfrm>
                    <a:prstGeom prst="rect">
                      <a:avLst/>
                    </a:prstGeom>
                    <a:noFill/>
                    <a:ln>
                      <a:noFill/>
                    </a:ln>
                  </pic:spPr>
                </pic:pic>
              </a:graphicData>
            </a:graphic>
          </wp:inline>
        </w:drawing>
      </w:r>
    </w:p>
    <w:p>
      <w:pPr>
        <w:jc w:val="center"/>
        <w:rPr>
          <w:b/>
          <w:bCs/>
          <w:sz w:val="28"/>
          <w:szCs w:val="32"/>
        </w:rPr>
      </w:pPr>
      <w:r>
        <w:rPr>
          <w:rFonts w:hint="eastAsia"/>
          <w:b/>
          <w:bCs/>
          <w:sz w:val="28"/>
          <w:szCs w:val="32"/>
        </w:rPr>
        <w:t>张国军教授</w:t>
      </w:r>
    </w:p>
    <w:p>
      <w:pPr>
        <w:spacing w:line="400" w:lineRule="exact"/>
        <w:ind w:firstLine="560" w:firstLineChars="200"/>
        <w:jc w:val="left"/>
        <w:rPr>
          <w:rFonts w:ascii="仿宋" w:hAnsi="仿宋" w:eastAsia="仿宋"/>
          <w:sz w:val="28"/>
          <w:szCs w:val="28"/>
        </w:rPr>
      </w:pPr>
      <w:r>
        <w:rPr>
          <w:rFonts w:hint="eastAsia" w:ascii="仿宋" w:hAnsi="仿宋" w:eastAsia="仿宋"/>
          <w:sz w:val="28"/>
          <w:szCs w:val="28"/>
        </w:rPr>
        <w:t>教授、博士生导师。现任湖北中医药大学检验学院院长。获华中科技大学同济医学院医学博士学位。</w:t>
      </w:r>
      <w:r>
        <w:rPr>
          <w:rFonts w:ascii="仿宋" w:hAnsi="仿宋" w:eastAsia="仿宋"/>
          <w:sz w:val="28"/>
          <w:szCs w:val="28"/>
        </w:rPr>
        <w:t>2012年入选湖北省“百人计划”特聘专家。2014年获评“湖北省有突出贡献的中青年专家”。2018年入选第二届“荆楚好老师”。2019年入选湖北省医学领军人才。从事纳米生物传感技术在重大疾病早期诊断和中医药领</w:t>
      </w:r>
      <w:r>
        <w:rPr>
          <w:rFonts w:hint="eastAsia" w:ascii="仿宋" w:hAnsi="仿宋" w:eastAsia="仿宋"/>
          <w:sz w:val="28"/>
          <w:szCs w:val="28"/>
        </w:rPr>
        <w:t>域中的前沿应用基础研究工作。</w:t>
      </w:r>
    </w:p>
    <w:p>
      <w:pPr>
        <w:spacing w:line="400" w:lineRule="exact"/>
        <w:ind w:firstLine="560" w:firstLineChars="200"/>
        <w:jc w:val="left"/>
        <w:rPr>
          <w:rFonts w:ascii="仿宋" w:hAnsi="仿宋" w:eastAsia="仿宋"/>
          <w:sz w:val="28"/>
          <w:szCs w:val="28"/>
        </w:rPr>
      </w:pPr>
      <w:r>
        <w:rPr>
          <w:rFonts w:hint="eastAsia" w:ascii="仿宋" w:hAnsi="仿宋" w:eastAsia="仿宋"/>
          <w:sz w:val="28"/>
          <w:szCs w:val="28"/>
        </w:rPr>
        <w:t>主要研究方向为纳米材料功能化生物传感器的研制、生物标志物检测新技术、中药材品质鉴定、纳米针灸传感针的制备与应用等。主持国家自然科学基金面上项目</w:t>
      </w:r>
      <w:r>
        <w:rPr>
          <w:rFonts w:ascii="仿宋" w:hAnsi="仿宋" w:eastAsia="仿宋"/>
          <w:sz w:val="28"/>
          <w:szCs w:val="28"/>
        </w:rPr>
        <w:t>4项。发表近100篇</w:t>
      </w:r>
      <w:r>
        <w:rPr>
          <w:rFonts w:hint="eastAsia" w:ascii="仿宋" w:hAnsi="仿宋" w:eastAsia="仿宋"/>
          <w:sz w:val="28"/>
          <w:szCs w:val="28"/>
          <w:lang w:eastAsia="zh-CN"/>
        </w:rPr>
        <w:t>高水平学术</w:t>
      </w:r>
      <w:r>
        <w:rPr>
          <w:rFonts w:ascii="仿宋" w:hAnsi="仿宋" w:eastAsia="仿宋"/>
          <w:sz w:val="28"/>
          <w:szCs w:val="28"/>
        </w:rPr>
        <w:t>论文。合著英文专著3部。申请国际、国内专利7项。</w:t>
      </w:r>
    </w:p>
    <w:p>
      <w:pPr>
        <w:spacing w:line="400" w:lineRule="exact"/>
        <w:ind w:firstLine="560" w:firstLineChars="200"/>
        <w:jc w:val="left"/>
        <w:rPr>
          <w:rFonts w:hint="eastAsia" w:ascii="仿宋" w:hAnsi="仿宋" w:eastAsia="仿宋"/>
          <w:sz w:val="28"/>
          <w:szCs w:val="28"/>
        </w:rPr>
      </w:pPr>
    </w:p>
    <w:p>
      <w:pPr>
        <w:spacing w:line="276" w:lineRule="auto"/>
        <w:ind w:firstLine="562" w:firstLineChars="200"/>
        <w:jc w:val="left"/>
        <w:rPr>
          <w:rFonts w:ascii="仿宋" w:hAnsi="仿宋" w:eastAsia="仿宋"/>
          <w:sz w:val="28"/>
          <w:szCs w:val="28"/>
        </w:rPr>
      </w:pPr>
      <w:r>
        <w:rPr>
          <w:rFonts w:hint="eastAsia" w:ascii="仿宋" w:hAnsi="仿宋" w:eastAsia="仿宋"/>
          <w:b/>
          <w:bCs/>
          <w:sz w:val="28"/>
          <w:szCs w:val="28"/>
        </w:rPr>
        <w:t>【招生专业】：</w:t>
      </w:r>
      <w:r>
        <w:rPr>
          <w:rFonts w:ascii="仿宋" w:hAnsi="仿宋" w:eastAsia="仿宋"/>
          <w:sz w:val="28"/>
          <w:szCs w:val="28"/>
        </w:rPr>
        <w:t>中药学</w:t>
      </w:r>
      <w:r>
        <w:rPr>
          <w:rFonts w:hint="eastAsia" w:ascii="仿宋" w:hAnsi="仿宋" w:eastAsia="仿宋"/>
          <w:sz w:val="28"/>
          <w:szCs w:val="28"/>
        </w:rPr>
        <w:t>（</w:t>
      </w:r>
      <w:r>
        <w:rPr>
          <w:rFonts w:ascii="仿宋" w:hAnsi="仿宋" w:eastAsia="仿宋"/>
          <w:sz w:val="28"/>
          <w:szCs w:val="28"/>
        </w:rPr>
        <w:t>100800</w:t>
      </w:r>
      <w:r>
        <w:rPr>
          <w:rFonts w:hint="eastAsia" w:ascii="仿宋" w:hAnsi="仿宋" w:eastAsia="仿宋"/>
          <w:sz w:val="28"/>
          <w:szCs w:val="28"/>
        </w:rPr>
        <w:t>）</w:t>
      </w:r>
    </w:p>
    <w:p>
      <w:pPr>
        <w:spacing w:line="276" w:lineRule="auto"/>
        <w:ind w:firstLine="562" w:firstLineChars="200"/>
        <w:rPr>
          <w:rFonts w:ascii="仿宋" w:hAnsi="仿宋" w:eastAsia="仿宋"/>
          <w:sz w:val="28"/>
          <w:szCs w:val="28"/>
        </w:rPr>
      </w:pPr>
      <w:r>
        <w:rPr>
          <w:rFonts w:hint="eastAsia" w:ascii="仿宋" w:hAnsi="仿宋" w:eastAsia="仿宋"/>
          <w:b/>
          <w:bCs/>
          <w:sz w:val="28"/>
          <w:szCs w:val="28"/>
        </w:rPr>
        <w:t>【研究方向】：</w:t>
      </w:r>
      <w:r>
        <w:rPr>
          <w:rFonts w:hint="eastAsia" w:ascii="仿宋" w:hAnsi="仿宋" w:eastAsia="仿宋"/>
          <w:sz w:val="28"/>
          <w:szCs w:val="28"/>
        </w:rPr>
        <w:t>中药资源及其品质研究</w:t>
      </w:r>
    </w:p>
    <w:p>
      <w:pPr>
        <w:spacing w:line="276" w:lineRule="auto"/>
        <w:ind w:firstLine="562" w:firstLineChars="200"/>
        <w:rPr>
          <w:rFonts w:ascii="仿宋" w:hAnsi="仿宋" w:eastAsia="仿宋"/>
          <w:sz w:val="28"/>
          <w:szCs w:val="28"/>
        </w:rPr>
      </w:pPr>
      <w:r>
        <w:rPr>
          <w:rFonts w:hint="eastAsia" w:ascii="仿宋" w:hAnsi="仿宋" w:eastAsia="仿宋"/>
          <w:b/>
          <w:bCs/>
          <w:sz w:val="28"/>
          <w:szCs w:val="28"/>
        </w:rPr>
        <w:t>【招生人数】：</w:t>
      </w:r>
      <w:r>
        <w:rPr>
          <w:rFonts w:hint="eastAsia" w:ascii="仿宋" w:hAnsi="仿宋" w:eastAsia="仿宋"/>
          <w:sz w:val="28"/>
          <w:szCs w:val="28"/>
        </w:rPr>
        <w:t>1名</w:t>
      </w:r>
    </w:p>
    <w:p>
      <w:pPr>
        <w:spacing w:line="440" w:lineRule="exact"/>
        <w:ind w:firstLine="560" w:firstLineChars="200"/>
        <w:rPr>
          <w:rFonts w:ascii="仿宋" w:hAnsi="仿宋" w:eastAsia="仿宋"/>
          <w:sz w:val="28"/>
          <w:szCs w:val="28"/>
        </w:rPr>
      </w:pPr>
    </w:p>
    <w:p>
      <w:pPr>
        <w:spacing w:line="360" w:lineRule="auto"/>
        <w:ind w:firstLine="420" w:firstLineChars="200"/>
        <w:jc w:val="center"/>
        <w:rPr>
          <w:rFonts w:ascii="仿宋" w:hAnsi="仿宋" w:eastAsia="仿宋"/>
          <w:sz w:val="28"/>
          <w:szCs w:val="28"/>
        </w:rPr>
      </w:pPr>
      <w:r>
        <w:drawing>
          <wp:inline distT="0" distB="0" distL="0" distR="0">
            <wp:extent cx="2295525" cy="317627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306119" cy="3191025"/>
                    </a:xfrm>
                    <a:prstGeom prst="rect">
                      <a:avLst/>
                    </a:prstGeom>
                    <a:noFill/>
                    <a:ln>
                      <a:noFill/>
                    </a:ln>
                  </pic:spPr>
                </pic:pic>
              </a:graphicData>
            </a:graphic>
          </wp:inline>
        </w:drawing>
      </w:r>
    </w:p>
    <w:p>
      <w:pPr>
        <w:jc w:val="center"/>
        <w:rPr>
          <w:b/>
          <w:bCs/>
          <w:sz w:val="28"/>
          <w:szCs w:val="32"/>
        </w:rPr>
      </w:pPr>
      <w:r>
        <w:rPr>
          <w:rFonts w:hint="eastAsia"/>
          <w:b/>
          <w:bCs/>
          <w:sz w:val="28"/>
          <w:szCs w:val="32"/>
        </w:rPr>
        <w:t xml:space="preserve"> 刘洪涛教授</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教授，博士生导师。曾在美国俄克拉荷马大学健康科学中心留学。现任湖北中医药大学中药微生物组与营养代谢研究所所长，兼任中国医药教育协会微生态与健康教育专业委员副主任委员、中国医师协会基础与转化医学专业委员会常务委员、中国实验动物学会无菌动物专业委员会委员等。</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主要研究方向是以肠道微生态及营养代谢疾病为导向的中药资源开发。先后获中国科学院“百人计划”</w:t>
      </w:r>
      <w:r>
        <w:rPr>
          <w:rFonts w:ascii="仿宋" w:hAnsi="仿宋" w:eastAsia="仿宋"/>
          <w:sz w:val="28"/>
          <w:szCs w:val="28"/>
        </w:rPr>
        <w:t>A类人才支持、湖北中医药大学“杏林英才”高端人才计划支持，入选2019“湖北省政府专项津贴”专家。主持国家“十三五”重点专项课题、国家自然科学基金面上项目、湖北省科技厅重大专项、武汉市科技局应用基础项目、大中型企业横向合作项目及各类校级课题近20项，申请发明专利20多项，发表</w:t>
      </w:r>
      <w:r>
        <w:rPr>
          <w:rFonts w:hint="eastAsia" w:ascii="仿宋" w:hAnsi="仿宋" w:eastAsia="仿宋"/>
          <w:sz w:val="28"/>
          <w:szCs w:val="28"/>
          <w:lang w:eastAsia="zh-CN"/>
        </w:rPr>
        <w:t>高水平论文</w:t>
      </w:r>
      <w:r>
        <w:rPr>
          <w:rFonts w:ascii="仿宋" w:hAnsi="仿宋" w:eastAsia="仿宋"/>
          <w:sz w:val="28"/>
          <w:szCs w:val="28"/>
        </w:rPr>
        <w:t>50余篇。</w:t>
      </w:r>
    </w:p>
    <w:p>
      <w:pPr>
        <w:spacing w:line="440" w:lineRule="exact"/>
        <w:ind w:firstLine="560" w:firstLineChars="200"/>
        <w:rPr>
          <w:rFonts w:hint="eastAsia" w:ascii="仿宋" w:hAnsi="仿宋" w:eastAsia="仿宋"/>
          <w:sz w:val="28"/>
          <w:szCs w:val="28"/>
        </w:rPr>
      </w:pPr>
    </w:p>
    <w:p>
      <w:pPr>
        <w:spacing w:line="360" w:lineRule="auto"/>
        <w:ind w:firstLine="562" w:firstLineChars="200"/>
        <w:rPr>
          <w:rFonts w:ascii="仿宋" w:hAnsi="仿宋" w:eastAsia="仿宋"/>
          <w:sz w:val="28"/>
          <w:szCs w:val="28"/>
        </w:rPr>
      </w:pPr>
      <w:r>
        <w:rPr>
          <w:rFonts w:hint="eastAsia" w:ascii="仿宋" w:hAnsi="仿宋" w:eastAsia="仿宋"/>
          <w:b/>
          <w:bCs/>
          <w:sz w:val="28"/>
          <w:szCs w:val="28"/>
        </w:rPr>
        <w:t>【招生专业】</w:t>
      </w:r>
      <w:r>
        <w:rPr>
          <w:rFonts w:hint="eastAsia" w:ascii="仿宋" w:hAnsi="仿宋" w:eastAsia="仿宋"/>
          <w:sz w:val="28"/>
          <w:szCs w:val="28"/>
        </w:rPr>
        <w:t>：</w:t>
      </w:r>
      <w:r>
        <w:rPr>
          <w:rFonts w:ascii="仿宋" w:hAnsi="仿宋" w:eastAsia="仿宋"/>
          <w:sz w:val="28"/>
          <w:szCs w:val="28"/>
        </w:rPr>
        <w:t>中药学</w:t>
      </w:r>
      <w:r>
        <w:rPr>
          <w:rFonts w:hint="eastAsia" w:ascii="仿宋" w:hAnsi="仿宋" w:eastAsia="仿宋"/>
          <w:sz w:val="28"/>
          <w:szCs w:val="28"/>
        </w:rPr>
        <w:t>（</w:t>
      </w:r>
      <w:r>
        <w:rPr>
          <w:rFonts w:ascii="仿宋" w:hAnsi="仿宋" w:eastAsia="仿宋"/>
          <w:sz w:val="28"/>
          <w:szCs w:val="28"/>
        </w:rPr>
        <w:t>100800</w:t>
      </w:r>
      <w:r>
        <w:rPr>
          <w:rFonts w:hint="eastAsia" w:ascii="仿宋" w:hAnsi="仿宋" w:eastAsia="仿宋"/>
          <w:sz w:val="28"/>
          <w:szCs w:val="28"/>
        </w:rPr>
        <w:t>）</w:t>
      </w:r>
    </w:p>
    <w:p>
      <w:pPr>
        <w:spacing w:line="360" w:lineRule="auto"/>
        <w:ind w:firstLine="562" w:firstLineChars="200"/>
        <w:rPr>
          <w:rFonts w:ascii="仿宋" w:hAnsi="仿宋" w:eastAsia="仿宋"/>
          <w:sz w:val="28"/>
          <w:szCs w:val="28"/>
        </w:rPr>
      </w:pPr>
      <w:r>
        <w:rPr>
          <w:rFonts w:hint="eastAsia" w:ascii="仿宋" w:hAnsi="仿宋" w:eastAsia="仿宋"/>
          <w:b/>
          <w:bCs/>
          <w:sz w:val="28"/>
          <w:szCs w:val="28"/>
        </w:rPr>
        <w:t>【研究方向】</w:t>
      </w:r>
      <w:r>
        <w:rPr>
          <w:rFonts w:hint="eastAsia" w:ascii="仿宋" w:hAnsi="仿宋" w:eastAsia="仿宋"/>
          <w:sz w:val="28"/>
          <w:szCs w:val="28"/>
        </w:rPr>
        <w:t>：</w:t>
      </w:r>
      <w:r>
        <w:rPr>
          <w:rFonts w:ascii="仿宋" w:hAnsi="仿宋" w:eastAsia="仿宋"/>
          <w:sz w:val="28"/>
          <w:szCs w:val="28"/>
        </w:rPr>
        <w:t>中药药性理论与作用机理研究</w:t>
      </w:r>
    </w:p>
    <w:p>
      <w:pPr>
        <w:spacing w:line="360" w:lineRule="auto"/>
        <w:ind w:firstLine="562" w:firstLineChars="200"/>
        <w:rPr>
          <w:rFonts w:ascii="仿宋" w:hAnsi="仿宋" w:eastAsia="仿宋"/>
          <w:sz w:val="28"/>
          <w:szCs w:val="28"/>
        </w:rPr>
      </w:pPr>
      <w:r>
        <w:rPr>
          <w:rFonts w:hint="eastAsia" w:ascii="仿宋" w:hAnsi="仿宋" w:eastAsia="仿宋"/>
          <w:b/>
          <w:bCs/>
          <w:sz w:val="28"/>
          <w:szCs w:val="28"/>
        </w:rPr>
        <w:t>【招生人数】</w:t>
      </w:r>
      <w:r>
        <w:rPr>
          <w:rFonts w:hint="eastAsia" w:ascii="仿宋" w:hAnsi="仿宋" w:eastAsia="仿宋"/>
          <w:sz w:val="28"/>
          <w:szCs w:val="28"/>
        </w:rPr>
        <w:t>：</w:t>
      </w:r>
      <w:r>
        <w:rPr>
          <w:rFonts w:ascii="仿宋" w:hAnsi="仿宋" w:eastAsia="仿宋"/>
          <w:sz w:val="28"/>
          <w:szCs w:val="28"/>
        </w:rPr>
        <w:t>1名</w:t>
      </w:r>
    </w:p>
    <w:p>
      <w:pPr>
        <w:spacing w:line="440" w:lineRule="exact"/>
        <w:ind w:firstLine="560" w:firstLineChars="200"/>
        <w:rPr>
          <w:rFonts w:ascii="仿宋" w:hAnsi="仿宋" w:eastAsia="仿宋"/>
          <w:sz w:val="28"/>
          <w:szCs w:val="28"/>
        </w:rPr>
      </w:pPr>
    </w:p>
    <w:p/>
    <w:p/>
    <w:p/>
    <w:p>
      <w:pPr>
        <w:spacing w:line="240" w:lineRule="auto"/>
        <w:jc w:val="center"/>
        <w:rPr>
          <w:rFonts w:hint="eastAsia" w:ascii="仿宋" w:hAnsi="仿宋" w:eastAsia="仿宋"/>
          <w:sz w:val="28"/>
          <w:szCs w:val="28"/>
          <w:lang w:eastAsia="zh-CN"/>
        </w:rPr>
      </w:pPr>
      <w:r>
        <w:rPr>
          <w:rFonts w:hint="eastAsia" w:ascii="仿宋" w:hAnsi="仿宋" w:eastAsia="仿宋"/>
          <w:sz w:val="28"/>
          <w:szCs w:val="28"/>
          <w:lang w:eastAsia="zh-CN"/>
        </w:rPr>
        <w:drawing>
          <wp:inline distT="0" distB="0" distL="114300" distR="114300">
            <wp:extent cx="2220595" cy="3252470"/>
            <wp:effectExtent l="0" t="0" r="8255" b="5080"/>
            <wp:docPr id="4" name="图片 4" descr="3DE1189F4EA094B3F0B176608BD_F6A8A13B_8C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DE1189F4EA094B3F0B176608BD_F6A8A13B_8C86"/>
                    <pic:cNvPicPr>
                      <a:picLocks noChangeAspect="1"/>
                    </pic:cNvPicPr>
                  </pic:nvPicPr>
                  <pic:blipFill>
                    <a:blip r:embed="rId11"/>
                    <a:stretch>
                      <a:fillRect/>
                    </a:stretch>
                  </pic:blipFill>
                  <pic:spPr>
                    <a:xfrm>
                      <a:off x="0" y="0"/>
                      <a:ext cx="2220595" cy="3252470"/>
                    </a:xfrm>
                    <a:prstGeom prst="rect">
                      <a:avLst/>
                    </a:prstGeom>
                  </pic:spPr>
                </pic:pic>
              </a:graphicData>
            </a:graphic>
          </wp:inline>
        </w:drawing>
      </w:r>
    </w:p>
    <w:p>
      <w:pPr>
        <w:spacing w:line="240" w:lineRule="auto"/>
        <w:jc w:val="center"/>
        <w:rPr>
          <w:rFonts w:hint="eastAsia" w:ascii="仿宋" w:hAnsi="仿宋" w:eastAsia="仿宋"/>
          <w:sz w:val="28"/>
          <w:szCs w:val="28"/>
          <w:lang w:eastAsia="zh-CN"/>
        </w:rPr>
      </w:pPr>
      <w:r>
        <w:rPr>
          <w:rFonts w:hint="eastAsia"/>
          <w:b/>
          <w:bCs/>
          <w:sz w:val="28"/>
          <w:szCs w:val="32"/>
          <w:lang w:eastAsia="zh-CN"/>
        </w:rPr>
        <w:t>刘义飞</w:t>
      </w:r>
      <w:r>
        <w:rPr>
          <w:rFonts w:hint="eastAsia"/>
          <w:b/>
          <w:bCs/>
          <w:sz w:val="28"/>
          <w:szCs w:val="32"/>
        </w:rPr>
        <w:t>教授</w:t>
      </w:r>
    </w:p>
    <w:p>
      <w:pPr>
        <w:spacing w:line="440" w:lineRule="exact"/>
        <w:ind w:firstLine="560" w:firstLineChars="200"/>
        <w:rPr>
          <w:rFonts w:hint="eastAsia" w:ascii="仿宋" w:hAnsi="仿宋" w:eastAsia="仿宋"/>
          <w:sz w:val="28"/>
          <w:szCs w:val="28"/>
        </w:rPr>
      </w:pPr>
      <w:r>
        <w:rPr>
          <w:rFonts w:hint="eastAsia" w:ascii="仿宋" w:hAnsi="仿宋" w:eastAsia="仿宋"/>
          <w:sz w:val="28"/>
          <w:szCs w:val="28"/>
        </w:rPr>
        <w:t>研究员，博士生导师。主要研究方向为中药资源评价与组学研究。目前在药学（生药学）和中药学（中药资源品质研究、评价开发）等方向开展招生。</w:t>
      </w:r>
    </w:p>
    <w:p>
      <w:pPr>
        <w:spacing w:line="440" w:lineRule="exact"/>
        <w:ind w:firstLine="560" w:firstLineChars="200"/>
        <w:rPr>
          <w:rFonts w:hint="eastAsia" w:ascii="仿宋" w:hAnsi="仿宋" w:eastAsia="仿宋"/>
          <w:sz w:val="28"/>
          <w:szCs w:val="28"/>
        </w:rPr>
      </w:pPr>
      <w:r>
        <w:rPr>
          <w:rFonts w:hint="eastAsia" w:ascii="仿宋" w:hAnsi="仿宋" w:eastAsia="仿宋"/>
          <w:sz w:val="28"/>
          <w:szCs w:val="28"/>
        </w:rPr>
        <w:t>领导的研究团队利用基因组学、转录组学、代谢组学等多组学联合的方式，对湖北优势道地药材（如黄连、野菊花）等开展基础和应用基础相关的研究工作，包括对野生中草药资源的全面遗传评价、分子鉴定、核心种质资源库构建和新品种培育；对重要功能性次生代谢产物生物合成通路功能基因的鉴定和挖掘应用；相关中药资源组学大数据的处理分析和应用（生物信息学相关）；特色药材资源的产品研发和应用。</w:t>
      </w:r>
    </w:p>
    <w:p>
      <w:pPr>
        <w:spacing w:line="440" w:lineRule="exact"/>
        <w:ind w:firstLine="560" w:firstLineChars="200"/>
        <w:rPr>
          <w:rFonts w:hint="eastAsia" w:ascii="仿宋" w:hAnsi="仿宋" w:eastAsia="仿宋"/>
          <w:sz w:val="28"/>
          <w:szCs w:val="28"/>
        </w:rPr>
      </w:pPr>
      <w:r>
        <w:rPr>
          <w:rFonts w:hint="eastAsia" w:ascii="仿宋" w:hAnsi="仿宋" w:eastAsia="仿宋"/>
          <w:sz w:val="28"/>
          <w:szCs w:val="28"/>
        </w:rPr>
        <w:t>迄今为止主持或参与国家863计划、国家重点研发计划、国家自然科学基金和中国科学院及地方各类科研项目10多项，发表各类科研论文60多篇，参编中英文专著6部，英文专著章节2篇，获得国家技术发明专利6项。相关成果获得湖北省、中科院和农业部等省部级科研奖励3项。</w:t>
      </w:r>
    </w:p>
    <w:p>
      <w:pPr>
        <w:spacing w:line="276" w:lineRule="auto"/>
        <w:ind w:firstLine="562" w:firstLineChars="200"/>
        <w:jc w:val="left"/>
        <w:rPr>
          <w:rFonts w:hint="eastAsia" w:ascii="仿宋" w:hAnsi="仿宋" w:eastAsia="仿宋"/>
          <w:b/>
          <w:bCs/>
          <w:sz w:val="28"/>
          <w:szCs w:val="28"/>
        </w:rPr>
      </w:pPr>
    </w:p>
    <w:p>
      <w:pPr>
        <w:spacing w:line="276" w:lineRule="auto"/>
        <w:ind w:firstLine="562" w:firstLineChars="200"/>
        <w:jc w:val="left"/>
        <w:rPr>
          <w:rFonts w:ascii="仿宋" w:hAnsi="仿宋" w:eastAsia="仿宋"/>
          <w:sz w:val="28"/>
          <w:szCs w:val="28"/>
        </w:rPr>
      </w:pPr>
      <w:r>
        <w:rPr>
          <w:rFonts w:hint="eastAsia" w:ascii="仿宋" w:hAnsi="仿宋" w:eastAsia="仿宋"/>
          <w:b/>
          <w:bCs/>
          <w:sz w:val="28"/>
          <w:szCs w:val="28"/>
        </w:rPr>
        <w:t>【招生专业】：</w:t>
      </w:r>
      <w:r>
        <w:rPr>
          <w:rFonts w:ascii="仿宋" w:hAnsi="仿宋" w:eastAsia="仿宋"/>
          <w:sz w:val="28"/>
          <w:szCs w:val="28"/>
        </w:rPr>
        <w:t>中药学</w:t>
      </w:r>
      <w:r>
        <w:rPr>
          <w:rFonts w:hint="eastAsia" w:ascii="仿宋" w:hAnsi="仿宋" w:eastAsia="仿宋"/>
          <w:sz w:val="28"/>
          <w:szCs w:val="28"/>
        </w:rPr>
        <w:t>（</w:t>
      </w:r>
      <w:r>
        <w:rPr>
          <w:rFonts w:ascii="仿宋" w:hAnsi="仿宋" w:eastAsia="仿宋"/>
          <w:sz w:val="28"/>
          <w:szCs w:val="28"/>
        </w:rPr>
        <w:t>100800</w:t>
      </w:r>
      <w:r>
        <w:rPr>
          <w:rFonts w:hint="eastAsia" w:ascii="仿宋" w:hAnsi="仿宋" w:eastAsia="仿宋"/>
          <w:sz w:val="28"/>
          <w:szCs w:val="28"/>
        </w:rPr>
        <w:t>）</w:t>
      </w:r>
    </w:p>
    <w:p>
      <w:pPr>
        <w:spacing w:line="276" w:lineRule="auto"/>
        <w:ind w:firstLine="562" w:firstLineChars="200"/>
        <w:rPr>
          <w:rFonts w:ascii="仿宋" w:hAnsi="仿宋" w:eastAsia="仿宋"/>
          <w:sz w:val="28"/>
          <w:szCs w:val="28"/>
        </w:rPr>
      </w:pPr>
      <w:r>
        <w:rPr>
          <w:rFonts w:hint="eastAsia" w:ascii="仿宋" w:hAnsi="仿宋" w:eastAsia="仿宋"/>
          <w:b/>
          <w:bCs/>
          <w:sz w:val="28"/>
          <w:szCs w:val="28"/>
        </w:rPr>
        <w:t>【研究方向】：</w:t>
      </w:r>
      <w:r>
        <w:rPr>
          <w:rFonts w:hint="eastAsia" w:ascii="仿宋" w:hAnsi="仿宋" w:eastAsia="仿宋"/>
          <w:sz w:val="28"/>
          <w:szCs w:val="28"/>
        </w:rPr>
        <w:t>中药资源及其品质研究</w:t>
      </w:r>
    </w:p>
    <w:p>
      <w:pPr>
        <w:spacing w:line="276" w:lineRule="auto"/>
        <w:ind w:firstLine="562" w:firstLineChars="200"/>
        <w:rPr>
          <w:rFonts w:ascii="仿宋" w:hAnsi="仿宋" w:eastAsia="仿宋"/>
          <w:sz w:val="28"/>
          <w:szCs w:val="28"/>
        </w:rPr>
      </w:pPr>
      <w:r>
        <w:rPr>
          <w:rFonts w:hint="eastAsia" w:ascii="仿宋" w:hAnsi="仿宋" w:eastAsia="仿宋"/>
          <w:b/>
          <w:bCs/>
          <w:sz w:val="28"/>
          <w:szCs w:val="28"/>
        </w:rPr>
        <w:t>【招生人数】：</w:t>
      </w:r>
      <w:r>
        <w:rPr>
          <w:rFonts w:hint="eastAsia" w:ascii="仿宋" w:hAnsi="仿宋" w:eastAsia="仿宋"/>
          <w:sz w:val="28"/>
          <w:szCs w:val="28"/>
        </w:rPr>
        <w:t>1名</w:t>
      </w:r>
    </w:p>
    <w:p>
      <w:pPr>
        <w:spacing w:line="440" w:lineRule="exact"/>
        <w:ind w:firstLine="560" w:firstLineChars="200"/>
        <w:rPr>
          <w:rFonts w:hint="eastAsia" w:ascii="仿宋" w:hAnsi="仿宋" w:eastAsia="仿宋"/>
          <w:sz w:val="28"/>
          <w:szCs w:val="28"/>
        </w:rPr>
      </w:pPr>
    </w:p>
    <w:sectPr>
      <w:footerReference r:id="rId3" w:type="default"/>
      <w:pgSz w:w="11906" w:h="16838"/>
      <w:pgMar w:top="1191" w:right="1247" w:bottom="1191" w:left="124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幼圆">
    <w:panose1 w:val="0201050906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4173382"/>
      <w:docPartObj>
        <w:docPartGallery w:val="autotext"/>
      </w:docPartObj>
    </w:sdtPr>
    <w:sdtContent>
      <w:p>
        <w:pPr>
          <w:pStyle w:val="2"/>
          <w:jc w:val="center"/>
        </w:pPr>
        <w:r>
          <w:fldChar w:fldCharType="begin"/>
        </w:r>
        <w:r>
          <w:instrText xml:space="preserve">PAGE   \* MERGEFORMAT</w:instrText>
        </w:r>
        <w:r>
          <w:fldChar w:fldCharType="separate"/>
        </w:r>
        <w:r>
          <w:rPr>
            <w:lang w:val="zh-CN"/>
          </w:rPr>
          <w:t>2</w:t>
        </w:r>
        <w:r>
          <w:fldChar w:fldCharType="end"/>
        </w:r>
      </w:p>
    </w:sdtContent>
  </w:sdt>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EBB"/>
    <w:rsid w:val="00051DC6"/>
    <w:rsid w:val="00172495"/>
    <w:rsid w:val="0049214E"/>
    <w:rsid w:val="00814A2A"/>
    <w:rsid w:val="00A23DA8"/>
    <w:rsid w:val="00C34E11"/>
    <w:rsid w:val="00C42414"/>
    <w:rsid w:val="00C60142"/>
    <w:rsid w:val="00F63EBB"/>
    <w:rsid w:val="114A5177"/>
    <w:rsid w:val="76082A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character" w:styleId="7">
    <w:name w:val="Strong"/>
    <w:basedOn w:val="6"/>
    <w:qFormat/>
    <w:uiPriority w:val="22"/>
    <w:rPr>
      <w:b/>
    </w:rPr>
  </w:style>
  <w:style w:type="character" w:customStyle="1" w:styleId="8">
    <w:name w:val="页脚 字符"/>
    <w:basedOn w:val="6"/>
    <w:link w:val="2"/>
    <w:uiPriority w:val="99"/>
    <w:rPr>
      <w:sz w:val="18"/>
      <w:szCs w:val="18"/>
    </w:rPr>
  </w:style>
  <w:style w:type="character" w:customStyle="1" w:styleId="9">
    <w:name w:val="页眉 字符"/>
    <w:basedOn w:val="6"/>
    <w:link w:val="3"/>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microsoft.com/office/2007/relationships/hdphoto" Target="media/image4.wdp"/><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498</Words>
  <Characters>2839</Characters>
  <Lines>23</Lines>
  <Paragraphs>6</Paragraphs>
  <TotalTime>4</TotalTime>
  <ScaleCrop>false</ScaleCrop>
  <LinksUpToDate>false</LinksUpToDate>
  <CharactersWithSpaces>3331</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2020-09-14T06:49:00Z</dcterms:created>
  <dc:creator>yjsc</dc:creator>
  <cp:lastModifiedBy>梓淳</cp:lastModifiedBy>
  <dcterms:modified xsi:type="dcterms:W3CDTF">2021-09-28T07:53:09Z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8A7AC24E233B41AF94ABEDFC37989B04</vt:lpwstr>
  </property>
</Properties>
</file>