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037" w:type="dxa"/>
        <w:tblInd w:w="0" w:type="dxa"/>
        <w:tblLayout w:type="fixed"/>
        <w:tblCellMar>
          <w:top w:w="0" w:type="dxa"/>
          <w:left w:w="108" w:type="dxa"/>
          <w:bottom w:w="0" w:type="dxa"/>
          <w:right w:w="108" w:type="dxa"/>
        </w:tblCellMar>
      </w:tblPr>
      <w:tblGrid>
        <w:gridCol w:w="2043"/>
        <w:gridCol w:w="2513"/>
        <w:gridCol w:w="2309"/>
        <w:gridCol w:w="1279"/>
        <w:gridCol w:w="1967"/>
        <w:gridCol w:w="2926"/>
      </w:tblGrid>
      <w:tr>
        <w:tblPrEx>
          <w:tblLayout w:type="fixed"/>
          <w:tblCellMar>
            <w:top w:w="0" w:type="dxa"/>
            <w:left w:w="108" w:type="dxa"/>
            <w:bottom w:w="0" w:type="dxa"/>
            <w:right w:w="108" w:type="dxa"/>
          </w:tblCellMar>
        </w:tblPrEx>
        <w:trPr>
          <w:trHeight w:val="721" w:hRule="atLeast"/>
        </w:trPr>
        <w:tc>
          <w:tcPr>
            <w:tcW w:w="13037" w:type="dxa"/>
            <w:gridSpan w:val="6"/>
            <w:tcBorders>
              <w:top w:val="nil"/>
              <w:left w:val="nil"/>
              <w:bottom w:val="nil"/>
              <w:right w:val="nil"/>
            </w:tcBorders>
            <w:shd w:val="clear" w:color="auto" w:fill="auto"/>
            <w:vAlign w:val="center"/>
          </w:tcPr>
          <w:p>
            <w:pPr>
              <w:adjustRightInd/>
              <w:snapToGrid/>
              <w:spacing w:after="0"/>
              <w:jc w:val="center"/>
              <w:rPr>
                <w:rFonts w:ascii="宋体" w:hAnsi="宋体" w:eastAsia="宋体" w:cs="宋体"/>
                <w:b/>
                <w:bCs/>
                <w:sz w:val="28"/>
                <w:szCs w:val="28"/>
              </w:rPr>
            </w:pPr>
            <w:r>
              <w:rPr>
                <w:rFonts w:hint="eastAsia" w:ascii="宋体" w:hAnsi="宋体" w:eastAsia="宋体" w:cs="宋体"/>
                <w:b/>
                <w:bCs/>
                <w:sz w:val="28"/>
                <w:szCs w:val="28"/>
              </w:rPr>
              <w:t>哲学与社会发展学院2018年硕士研究生复试方案</w:t>
            </w:r>
          </w:p>
        </w:tc>
      </w:tr>
      <w:tr>
        <w:tblPrEx>
          <w:tblLayout w:type="fixed"/>
          <w:tblCellMar>
            <w:top w:w="0" w:type="dxa"/>
            <w:left w:w="108" w:type="dxa"/>
            <w:bottom w:w="0" w:type="dxa"/>
            <w:right w:w="108" w:type="dxa"/>
          </w:tblCellMar>
        </w:tblPrEx>
        <w:trPr>
          <w:trHeight w:val="681" w:hRule="atLeast"/>
        </w:trPr>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专业名称</w:t>
            </w:r>
          </w:p>
        </w:tc>
        <w:tc>
          <w:tcPr>
            <w:tcW w:w="2513"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报到时间及地点</w:t>
            </w:r>
          </w:p>
        </w:tc>
        <w:tc>
          <w:tcPr>
            <w:tcW w:w="2309"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复试时间</w:t>
            </w:r>
          </w:p>
        </w:tc>
        <w:tc>
          <w:tcPr>
            <w:tcW w:w="1279"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复试地点</w:t>
            </w:r>
          </w:p>
        </w:tc>
        <w:tc>
          <w:tcPr>
            <w:tcW w:w="1967"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复试内容（笔试、面试、技能测试、外国语听力口语测试等）</w:t>
            </w:r>
          </w:p>
        </w:tc>
        <w:tc>
          <w:tcPr>
            <w:tcW w:w="2926"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复试录取原则</w:t>
            </w:r>
          </w:p>
        </w:tc>
      </w:tr>
      <w:tr>
        <w:tblPrEx>
          <w:tblLayout w:type="fixed"/>
          <w:tblCellMar>
            <w:top w:w="0" w:type="dxa"/>
            <w:left w:w="108" w:type="dxa"/>
            <w:bottom w:w="0" w:type="dxa"/>
            <w:right w:w="108" w:type="dxa"/>
          </w:tblCellMar>
        </w:tblPrEx>
        <w:trPr>
          <w:trHeight w:val="571" w:hRule="atLeast"/>
        </w:trPr>
        <w:tc>
          <w:tcPr>
            <w:tcW w:w="2043"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中国哲学</w:t>
            </w:r>
          </w:p>
        </w:tc>
        <w:tc>
          <w:tcPr>
            <w:tcW w:w="2513"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xml:space="preserve">2018年3月29日 </w:t>
            </w:r>
            <w:r>
              <w:rPr>
                <w:rFonts w:hint="eastAsia" w:ascii="宋体" w:hAnsi="宋体" w:eastAsia="宋体" w:cs="宋体"/>
                <w:sz w:val="20"/>
                <w:szCs w:val="20"/>
              </w:rPr>
              <w:br w:type="textWrapping"/>
            </w:r>
            <w:r>
              <w:rPr>
                <w:rFonts w:hint="eastAsia" w:ascii="宋体" w:hAnsi="宋体" w:eastAsia="宋体" w:cs="宋体"/>
                <w:sz w:val="20"/>
                <w:szCs w:val="20"/>
              </w:rPr>
              <w:t>9:00-17:00</w:t>
            </w:r>
            <w:r>
              <w:rPr>
                <w:rFonts w:hint="eastAsia" w:ascii="宋体" w:hAnsi="宋体" w:eastAsia="宋体" w:cs="宋体"/>
                <w:sz w:val="20"/>
                <w:szCs w:val="20"/>
              </w:rPr>
              <w:br w:type="textWrapping"/>
            </w:r>
            <w:r>
              <w:rPr>
                <w:rFonts w:hint="eastAsia" w:ascii="宋体" w:hAnsi="宋体" w:eastAsia="宋体" w:cs="宋体"/>
                <w:sz w:val="20"/>
                <w:szCs w:val="20"/>
              </w:rPr>
              <w:t>贵州大学人文楼216教学科研科</w:t>
            </w:r>
          </w:p>
        </w:tc>
        <w:tc>
          <w:tcPr>
            <w:tcW w:w="2309"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2018年3月30日上午9:00—11:00</w:t>
            </w:r>
          </w:p>
        </w:tc>
        <w:tc>
          <w:tcPr>
            <w:tcW w:w="1279" w:type="dxa"/>
            <w:vMerge w:val="restart"/>
            <w:tcBorders>
              <w:top w:val="nil"/>
              <w:left w:val="single" w:color="auto" w:sz="4" w:space="0"/>
              <w:bottom w:val="nil"/>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逸夫楼703D</w:t>
            </w:r>
          </w:p>
        </w:tc>
        <w:tc>
          <w:tcPr>
            <w:tcW w:w="1967"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专业笔试</w:t>
            </w:r>
          </w:p>
        </w:tc>
        <w:tc>
          <w:tcPr>
            <w:tcW w:w="2926"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一、复试</w:t>
            </w:r>
            <w:r>
              <w:rPr>
                <w:rFonts w:hint="eastAsia" w:ascii="宋体" w:hAnsi="宋体" w:eastAsia="宋体" w:cs="宋体"/>
                <w:sz w:val="20"/>
                <w:szCs w:val="20"/>
              </w:rPr>
              <w:br w:type="textWrapping"/>
            </w:r>
            <w:r>
              <w:rPr>
                <w:rFonts w:hint="eastAsia" w:ascii="宋体" w:hAnsi="宋体" w:eastAsia="宋体" w:cs="宋体"/>
                <w:sz w:val="20"/>
                <w:szCs w:val="20"/>
              </w:rPr>
              <w:t>1.复试比例：</w:t>
            </w:r>
            <w:r>
              <w:rPr>
                <w:rFonts w:hint="eastAsia" w:ascii="宋体" w:hAnsi="宋体" w:eastAsia="宋体" w:cs="宋体"/>
                <w:sz w:val="20"/>
                <w:szCs w:val="20"/>
              </w:rPr>
              <w:br w:type="textWrapping"/>
            </w:r>
            <w:r>
              <w:rPr>
                <w:rFonts w:hint="eastAsia" w:ascii="宋体" w:hAnsi="宋体" w:eastAsia="宋体" w:cs="宋体"/>
                <w:sz w:val="20"/>
                <w:szCs w:val="20"/>
              </w:rPr>
              <w:t>原则上为1：1.2—1:1.5</w:t>
            </w:r>
            <w:r>
              <w:rPr>
                <w:rFonts w:hint="eastAsia" w:ascii="宋体" w:hAnsi="宋体" w:eastAsia="宋体" w:cs="宋体"/>
                <w:sz w:val="20"/>
                <w:szCs w:val="20"/>
              </w:rPr>
              <w:br w:type="textWrapping"/>
            </w:r>
            <w:r>
              <w:rPr>
                <w:rFonts w:hint="eastAsia" w:ascii="宋体" w:hAnsi="宋体" w:eastAsia="宋体" w:cs="宋体"/>
                <w:sz w:val="20"/>
                <w:szCs w:val="20"/>
              </w:rPr>
              <w:t>2.复试内容及权重：</w:t>
            </w:r>
            <w:r>
              <w:rPr>
                <w:rFonts w:hint="eastAsia" w:ascii="宋体" w:hAnsi="宋体" w:eastAsia="宋体" w:cs="宋体"/>
                <w:sz w:val="20"/>
                <w:szCs w:val="20"/>
              </w:rPr>
              <w:br w:type="textWrapping"/>
            </w:r>
            <w:r>
              <w:rPr>
                <w:rFonts w:hint="eastAsia" w:ascii="宋体" w:hAnsi="宋体" w:eastAsia="宋体" w:cs="宋体"/>
                <w:sz w:val="20"/>
                <w:szCs w:val="20"/>
              </w:rPr>
              <w:t>专业笔试：30%；</w:t>
            </w:r>
            <w:r>
              <w:rPr>
                <w:rFonts w:hint="eastAsia" w:ascii="宋体" w:hAnsi="宋体" w:eastAsia="宋体" w:cs="宋体"/>
                <w:sz w:val="20"/>
                <w:szCs w:val="20"/>
              </w:rPr>
              <w:br w:type="textWrapping"/>
            </w:r>
            <w:r>
              <w:rPr>
                <w:rFonts w:hint="eastAsia" w:ascii="宋体" w:hAnsi="宋体" w:eastAsia="宋体" w:cs="宋体"/>
                <w:sz w:val="20"/>
                <w:szCs w:val="20"/>
              </w:rPr>
              <w:t>综合面试：60%；</w:t>
            </w:r>
            <w:r>
              <w:rPr>
                <w:rFonts w:hint="eastAsia" w:ascii="宋体" w:hAnsi="宋体" w:eastAsia="宋体" w:cs="宋体"/>
                <w:sz w:val="20"/>
                <w:szCs w:val="20"/>
              </w:rPr>
              <w:br w:type="textWrapping"/>
            </w:r>
            <w:r>
              <w:rPr>
                <w:rFonts w:hint="eastAsia" w:ascii="宋体" w:hAnsi="宋体" w:eastAsia="宋体" w:cs="宋体"/>
                <w:sz w:val="20"/>
                <w:szCs w:val="20"/>
              </w:rPr>
              <w:t>英语测试：10%</w:t>
            </w:r>
            <w:r>
              <w:rPr>
                <w:rFonts w:hint="eastAsia" w:ascii="宋体" w:hAnsi="宋体" w:eastAsia="宋体" w:cs="宋体"/>
                <w:sz w:val="20"/>
                <w:szCs w:val="20"/>
              </w:rPr>
              <w:br w:type="textWrapping"/>
            </w:r>
            <w:r>
              <w:rPr>
                <w:rFonts w:hint="eastAsia" w:ascii="宋体" w:hAnsi="宋体" w:eastAsia="宋体" w:cs="宋体"/>
                <w:sz w:val="20"/>
                <w:szCs w:val="20"/>
              </w:rPr>
              <w:br w:type="textWrapping"/>
            </w:r>
            <w:r>
              <w:rPr>
                <w:rFonts w:hint="eastAsia" w:ascii="宋体" w:hAnsi="宋体" w:eastAsia="宋体" w:cs="宋体"/>
                <w:sz w:val="20"/>
                <w:szCs w:val="20"/>
              </w:rPr>
              <w:t>二、录取：</w:t>
            </w:r>
            <w:r>
              <w:rPr>
                <w:rFonts w:hint="eastAsia" w:ascii="宋体" w:hAnsi="宋体" w:eastAsia="宋体" w:cs="宋体"/>
                <w:sz w:val="20"/>
                <w:szCs w:val="20"/>
              </w:rPr>
              <w:br w:type="textWrapping"/>
            </w:r>
            <w:r>
              <w:rPr>
                <w:rFonts w:hint="eastAsia" w:ascii="宋体" w:hAnsi="宋体" w:eastAsia="宋体" w:cs="宋体"/>
                <w:sz w:val="20"/>
                <w:szCs w:val="20"/>
              </w:rPr>
              <w:t>1.初试成绩权重：50%</w:t>
            </w:r>
            <w:r>
              <w:rPr>
                <w:rFonts w:hint="eastAsia" w:ascii="宋体" w:hAnsi="宋体" w:eastAsia="宋体" w:cs="宋体"/>
                <w:sz w:val="20"/>
                <w:szCs w:val="20"/>
              </w:rPr>
              <w:br w:type="textWrapping"/>
            </w:r>
            <w:r>
              <w:rPr>
                <w:rFonts w:hint="eastAsia" w:ascii="宋体" w:hAnsi="宋体" w:eastAsia="宋体" w:cs="宋体"/>
                <w:sz w:val="20"/>
                <w:szCs w:val="20"/>
              </w:rPr>
              <w:t>复试成绩权重：50%</w:t>
            </w:r>
            <w:r>
              <w:rPr>
                <w:rFonts w:hint="eastAsia" w:ascii="宋体" w:hAnsi="宋体" w:eastAsia="宋体" w:cs="宋体"/>
                <w:sz w:val="20"/>
                <w:szCs w:val="20"/>
              </w:rPr>
              <w:br w:type="textWrapping"/>
            </w:r>
            <w:r>
              <w:rPr>
                <w:rFonts w:hint="eastAsia" w:ascii="宋体" w:hAnsi="宋体" w:eastAsia="宋体" w:cs="宋体"/>
                <w:sz w:val="20"/>
                <w:szCs w:val="20"/>
              </w:rPr>
              <w:t>2复试成绩</w:t>
            </w:r>
            <w:r>
              <w:rPr>
                <w:rFonts w:hint="eastAsia" w:ascii="宋体" w:hAnsi="宋体"/>
                <w:sz w:val="18"/>
                <w:szCs w:val="18"/>
                <w:lang w:val="en-US" w:eastAsia="zh-CN"/>
              </w:rPr>
              <w:t>(百分制)</w:t>
            </w:r>
            <w:r>
              <w:rPr>
                <w:rFonts w:hint="eastAsia" w:ascii="宋体" w:hAnsi="宋体" w:eastAsia="宋体" w:cs="宋体"/>
                <w:sz w:val="20"/>
                <w:szCs w:val="20"/>
              </w:rPr>
              <w:t>低于60分，不予录取；</w:t>
            </w:r>
            <w:r>
              <w:rPr>
                <w:rFonts w:hint="eastAsia" w:ascii="宋体" w:hAnsi="宋体" w:eastAsia="宋体" w:cs="宋体"/>
                <w:sz w:val="20"/>
                <w:szCs w:val="20"/>
              </w:rPr>
              <w:br w:type="textWrapping"/>
            </w:r>
            <w:r>
              <w:rPr>
                <w:rFonts w:hint="eastAsia" w:ascii="宋体" w:hAnsi="宋体" w:eastAsia="宋体" w:cs="宋体"/>
                <w:sz w:val="20"/>
                <w:szCs w:val="20"/>
              </w:rPr>
              <w:t>3.录取排序</w:t>
            </w:r>
            <w:r>
              <w:rPr>
                <w:rFonts w:hint="eastAsia" w:ascii="宋体" w:hAnsi="宋体" w:eastAsia="宋体" w:cs="宋体"/>
                <w:sz w:val="20"/>
                <w:szCs w:val="20"/>
              </w:rPr>
              <w:br w:type="textWrapping"/>
            </w:r>
            <w:r>
              <w:rPr>
                <w:rFonts w:hint="eastAsia" w:ascii="宋体" w:hAnsi="宋体" w:eastAsia="宋体" w:cs="宋体"/>
                <w:sz w:val="20"/>
                <w:szCs w:val="20"/>
              </w:rPr>
              <w:t>一志愿考生、调剂生。</w:t>
            </w:r>
            <w:r>
              <w:rPr>
                <w:rFonts w:hint="eastAsia" w:ascii="宋体" w:hAnsi="宋体" w:eastAsia="宋体" w:cs="宋体"/>
                <w:sz w:val="20"/>
                <w:szCs w:val="20"/>
              </w:rPr>
              <w:br w:type="textWrapping"/>
            </w:r>
            <w:r>
              <w:rPr>
                <w:rFonts w:hint="eastAsia" w:ascii="宋体" w:hAnsi="宋体" w:eastAsia="宋体" w:cs="宋体"/>
                <w:sz w:val="20"/>
                <w:szCs w:val="20"/>
              </w:rPr>
              <w:t>三、同等学力加试任一科低于60分不予录取。</w:t>
            </w:r>
          </w:p>
        </w:tc>
      </w:tr>
      <w:tr>
        <w:tblPrEx>
          <w:tblLayout w:type="fixed"/>
          <w:tblCellMar>
            <w:top w:w="0" w:type="dxa"/>
            <w:left w:w="108" w:type="dxa"/>
            <w:bottom w:w="0" w:type="dxa"/>
            <w:right w:w="108" w:type="dxa"/>
          </w:tblCellMar>
        </w:tblPrEx>
        <w:trPr>
          <w:trHeight w:val="571" w:hRule="atLeast"/>
        </w:trPr>
        <w:tc>
          <w:tcPr>
            <w:tcW w:w="2043"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逻辑学</w:t>
            </w:r>
          </w:p>
        </w:tc>
        <w:tc>
          <w:tcPr>
            <w:tcW w:w="251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2309"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1279" w:type="dxa"/>
            <w:vMerge w:val="continue"/>
            <w:tcBorders>
              <w:top w:val="nil"/>
              <w:left w:val="single" w:color="auto" w:sz="4" w:space="0"/>
              <w:bottom w:val="nil"/>
              <w:right w:val="single" w:color="auto" w:sz="4" w:space="0"/>
            </w:tcBorders>
            <w:vAlign w:val="center"/>
          </w:tcPr>
          <w:p>
            <w:pPr>
              <w:adjustRightInd/>
              <w:snapToGrid/>
              <w:spacing w:after="0"/>
              <w:rPr>
                <w:rFonts w:ascii="宋体" w:hAnsi="宋体" w:eastAsia="宋体" w:cs="宋体"/>
                <w:sz w:val="20"/>
                <w:szCs w:val="20"/>
              </w:rPr>
            </w:pPr>
          </w:p>
        </w:tc>
        <w:tc>
          <w:tcPr>
            <w:tcW w:w="1967"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292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r>
      <w:tr>
        <w:tblPrEx>
          <w:tblLayout w:type="fixed"/>
          <w:tblCellMar>
            <w:top w:w="0" w:type="dxa"/>
            <w:left w:w="108" w:type="dxa"/>
            <w:bottom w:w="0" w:type="dxa"/>
            <w:right w:w="108" w:type="dxa"/>
          </w:tblCellMar>
        </w:tblPrEx>
        <w:trPr>
          <w:trHeight w:val="571" w:hRule="atLeast"/>
        </w:trPr>
        <w:tc>
          <w:tcPr>
            <w:tcW w:w="2043"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伦理学</w:t>
            </w:r>
          </w:p>
        </w:tc>
        <w:tc>
          <w:tcPr>
            <w:tcW w:w="251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2309"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2018年3月30日下午13:00-18:00</w:t>
            </w:r>
          </w:p>
        </w:tc>
        <w:tc>
          <w:tcPr>
            <w:tcW w:w="1279" w:type="dxa"/>
            <w:vMerge w:val="restart"/>
            <w:tcBorders>
              <w:top w:val="single" w:color="auto" w:sz="4" w:space="0"/>
              <w:left w:val="single" w:color="auto" w:sz="4" w:space="0"/>
              <w:bottom w:val="nil"/>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人文楼</w:t>
            </w:r>
            <w:r>
              <w:rPr>
                <w:rFonts w:hint="eastAsia" w:ascii="宋体" w:hAnsi="宋体" w:eastAsia="宋体" w:cs="宋体"/>
                <w:sz w:val="20"/>
                <w:szCs w:val="20"/>
              </w:rPr>
              <w:br w:type="textWrapping"/>
            </w:r>
            <w:r>
              <w:rPr>
                <w:rFonts w:hint="eastAsia" w:ascii="宋体" w:hAnsi="宋体" w:eastAsia="宋体" w:cs="宋体"/>
                <w:sz w:val="20"/>
                <w:szCs w:val="20"/>
              </w:rPr>
              <w:t>208考场</w:t>
            </w:r>
          </w:p>
        </w:tc>
        <w:tc>
          <w:tcPr>
            <w:tcW w:w="1967"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综合面试(含外国语听力、口语测试)</w:t>
            </w:r>
          </w:p>
        </w:tc>
        <w:tc>
          <w:tcPr>
            <w:tcW w:w="292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r>
      <w:tr>
        <w:tblPrEx>
          <w:tblLayout w:type="fixed"/>
          <w:tblCellMar>
            <w:top w:w="0" w:type="dxa"/>
            <w:left w:w="108" w:type="dxa"/>
            <w:bottom w:w="0" w:type="dxa"/>
            <w:right w:w="108" w:type="dxa"/>
          </w:tblCellMar>
        </w:tblPrEx>
        <w:trPr>
          <w:trHeight w:val="571" w:hRule="atLeast"/>
        </w:trPr>
        <w:tc>
          <w:tcPr>
            <w:tcW w:w="2043"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美学</w:t>
            </w:r>
          </w:p>
        </w:tc>
        <w:tc>
          <w:tcPr>
            <w:tcW w:w="251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2309"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1279" w:type="dxa"/>
            <w:vMerge w:val="continue"/>
            <w:tcBorders>
              <w:top w:val="single" w:color="auto" w:sz="4" w:space="0"/>
              <w:left w:val="single" w:color="auto" w:sz="4" w:space="0"/>
              <w:bottom w:val="nil"/>
              <w:right w:val="single" w:color="auto" w:sz="4" w:space="0"/>
            </w:tcBorders>
            <w:vAlign w:val="center"/>
          </w:tcPr>
          <w:p>
            <w:pPr>
              <w:adjustRightInd/>
              <w:snapToGrid/>
              <w:spacing w:after="0"/>
              <w:rPr>
                <w:rFonts w:ascii="宋体" w:hAnsi="宋体" w:eastAsia="宋体" w:cs="宋体"/>
                <w:sz w:val="20"/>
                <w:szCs w:val="20"/>
              </w:rPr>
            </w:pPr>
          </w:p>
        </w:tc>
        <w:tc>
          <w:tcPr>
            <w:tcW w:w="1967"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292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r>
      <w:tr>
        <w:tblPrEx>
          <w:tblLayout w:type="fixed"/>
          <w:tblCellMar>
            <w:top w:w="0" w:type="dxa"/>
            <w:left w:w="108" w:type="dxa"/>
            <w:bottom w:w="0" w:type="dxa"/>
            <w:right w:w="108" w:type="dxa"/>
          </w:tblCellMar>
        </w:tblPrEx>
        <w:trPr>
          <w:trHeight w:val="571" w:hRule="atLeast"/>
        </w:trPr>
        <w:tc>
          <w:tcPr>
            <w:tcW w:w="2043"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科学技术哲学</w:t>
            </w:r>
          </w:p>
        </w:tc>
        <w:tc>
          <w:tcPr>
            <w:tcW w:w="2513"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xml:space="preserve">2018年3月29日 </w:t>
            </w:r>
            <w:r>
              <w:rPr>
                <w:rFonts w:hint="eastAsia" w:ascii="宋体" w:hAnsi="宋体" w:eastAsia="宋体" w:cs="宋体"/>
                <w:sz w:val="20"/>
                <w:szCs w:val="20"/>
              </w:rPr>
              <w:br w:type="textWrapping"/>
            </w:r>
            <w:r>
              <w:rPr>
                <w:rFonts w:hint="eastAsia" w:ascii="宋体" w:hAnsi="宋体" w:eastAsia="宋体" w:cs="宋体"/>
                <w:sz w:val="20"/>
                <w:szCs w:val="20"/>
              </w:rPr>
              <w:t>9:00-17:00</w:t>
            </w:r>
            <w:r>
              <w:rPr>
                <w:rFonts w:hint="eastAsia" w:ascii="宋体" w:hAnsi="宋体" w:eastAsia="宋体" w:cs="宋体"/>
                <w:sz w:val="20"/>
                <w:szCs w:val="20"/>
              </w:rPr>
              <w:br w:type="textWrapping"/>
            </w:r>
            <w:r>
              <w:rPr>
                <w:rFonts w:hint="eastAsia" w:ascii="宋体" w:hAnsi="宋体" w:eastAsia="宋体" w:cs="宋体"/>
                <w:sz w:val="20"/>
                <w:szCs w:val="20"/>
              </w:rPr>
              <w:t>贵州大学人文楼216教学科研科</w:t>
            </w:r>
          </w:p>
        </w:tc>
        <w:tc>
          <w:tcPr>
            <w:tcW w:w="2309"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2018年3月30日上午9:00—11:00</w:t>
            </w:r>
          </w:p>
        </w:tc>
        <w:tc>
          <w:tcPr>
            <w:tcW w:w="1279" w:type="dxa"/>
            <w:vMerge w:val="restart"/>
            <w:tcBorders>
              <w:top w:val="single" w:color="auto" w:sz="4" w:space="0"/>
              <w:left w:val="single" w:color="auto" w:sz="4" w:space="0"/>
              <w:bottom w:val="nil"/>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逸夫楼703D</w:t>
            </w:r>
          </w:p>
        </w:tc>
        <w:tc>
          <w:tcPr>
            <w:tcW w:w="1967"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专业笔试</w:t>
            </w:r>
          </w:p>
        </w:tc>
        <w:tc>
          <w:tcPr>
            <w:tcW w:w="292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r>
      <w:tr>
        <w:tblPrEx>
          <w:tblLayout w:type="fixed"/>
          <w:tblCellMar>
            <w:top w:w="0" w:type="dxa"/>
            <w:left w:w="108" w:type="dxa"/>
            <w:bottom w:w="0" w:type="dxa"/>
            <w:right w:w="108" w:type="dxa"/>
          </w:tblCellMar>
        </w:tblPrEx>
        <w:trPr>
          <w:trHeight w:val="571" w:hRule="atLeast"/>
        </w:trPr>
        <w:tc>
          <w:tcPr>
            <w:tcW w:w="2043"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宗教学</w:t>
            </w:r>
          </w:p>
        </w:tc>
        <w:tc>
          <w:tcPr>
            <w:tcW w:w="251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2309"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1279" w:type="dxa"/>
            <w:vMerge w:val="continue"/>
            <w:tcBorders>
              <w:top w:val="single" w:color="auto" w:sz="4" w:space="0"/>
              <w:left w:val="single" w:color="auto" w:sz="4" w:space="0"/>
              <w:bottom w:val="nil"/>
              <w:right w:val="single" w:color="auto" w:sz="4" w:space="0"/>
            </w:tcBorders>
            <w:vAlign w:val="center"/>
          </w:tcPr>
          <w:p>
            <w:pPr>
              <w:adjustRightInd/>
              <w:snapToGrid/>
              <w:spacing w:after="0"/>
              <w:rPr>
                <w:rFonts w:ascii="宋体" w:hAnsi="宋体" w:eastAsia="宋体" w:cs="宋体"/>
                <w:sz w:val="20"/>
                <w:szCs w:val="20"/>
              </w:rPr>
            </w:pPr>
          </w:p>
        </w:tc>
        <w:tc>
          <w:tcPr>
            <w:tcW w:w="1967"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292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r>
      <w:tr>
        <w:tblPrEx>
          <w:tblLayout w:type="fixed"/>
          <w:tblCellMar>
            <w:top w:w="0" w:type="dxa"/>
            <w:left w:w="108" w:type="dxa"/>
            <w:bottom w:w="0" w:type="dxa"/>
            <w:right w:w="108" w:type="dxa"/>
          </w:tblCellMar>
        </w:tblPrEx>
        <w:trPr>
          <w:trHeight w:val="571" w:hRule="atLeast"/>
        </w:trPr>
        <w:tc>
          <w:tcPr>
            <w:tcW w:w="2043"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马克思主义哲学</w:t>
            </w:r>
          </w:p>
        </w:tc>
        <w:tc>
          <w:tcPr>
            <w:tcW w:w="251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2309"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2018年3月30日下午13:00-18:00</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人文楼3楼美学沙龙</w:t>
            </w:r>
          </w:p>
        </w:tc>
        <w:tc>
          <w:tcPr>
            <w:tcW w:w="1967"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综合面试(含外国语听力、口语测试)</w:t>
            </w:r>
          </w:p>
        </w:tc>
        <w:tc>
          <w:tcPr>
            <w:tcW w:w="292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r>
      <w:tr>
        <w:tblPrEx>
          <w:tblLayout w:type="fixed"/>
          <w:tblCellMar>
            <w:top w:w="0" w:type="dxa"/>
            <w:left w:w="108" w:type="dxa"/>
            <w:bottom w:w="0" w:type="dxa"/>
            <w:right w:w="108" w:type="dxa"/>
          </w:tblCellMar>
        </w:tblPrEx>
        <w:trPr>
          <w:trHeight w:val="851" w:hRule="atLeast"/>
        </w:trPr>
        <w:tc>
          <w:tcPr>
            <w:tcW w:w="2043"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外国哲学</w:t>
            </w:r>
          </w:p>
        </w:tc>
        <w:tc>
          <w:tcPr>
            <w:tcW w:w="251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2309"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0"/>
                <w:szCs w:val="20"/>
              </w:rPr>
            </w:pPr>
          </w:p>
        </w:tc>
        <w:tc>
          <w:tcPr>
            <w:tcW w:w="1967"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c>
          <w:tcPr>
            <w:tcW w:w="292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0"/>
                <w:szCs w:val="20"/>
              </w:rPr>
            </w:pPr>
          </w:p>
        </w:tc>
      </w:tr>
      <w:tr>
        <w:tblPrEx>
          <w:tblLayout w:type="fixed"/>
          <w:tblCellMar>
            <w:top w:w="0" w:type="dxa"/>
            <w:left w:w="108" w:type="dxa"/>
            <w:bottom w:w="0" w:type="dxa"/>
            <w:right w:w="108" w:type="dxa"/>
          </w:tblCellMar>
        </w:tblPrEx>
        <w:trPr>
          <w:trHeight w:val="295" w:hRule="atLeast"/>
        </w:trPr>
        <w:tc>
          <w:tcPr>
            <w:tcW w:w="13037" w:type="dxa"/>
            <w:gridSpan w:val="6"/>
            <w:vMerge w:val="restart"/>
            <w:tcBorders>
              <w:top w:val="nil"/>
              <w:left w:val="nil"/>
              <w:bottom w:val="nil"/>
              <w:right w:val="nil"/>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备注：体检于3月31日上午（时间与校医院协商后确定）8:30在校医院进行。报到时考生需提交：（1）考研准考证原件及复印件一份；（2）学生证原件及复印件；（3）身份证原件及复印件；（4）本科在校期间学习成绩单（教务部门加盖红章）（应届生）；（5）学历学位证书原件及复印件（往届生和同等学力考生）；（6）复试费100元+体检费65元。（7）政审表（贵州大学研究生院网站上下载）。（8）享受少数民族政策照顾线的考生需提供少数民族证明材料原件及复印件。</w:t>
            </w:r>
          </w:p>
        </w:tc>
      </w:tr>
      <w:tr>
        <w:tblPrEx>
          <w:tblLayout w:type="fixed"/>
          <w:tblCellMar>
            <w:top w:w="0" w:type="dxa"/>
            <w:left w:w="108" w:type="dxa"/>
            <w:bottom w:w="0" w:type="dxa"/>
            <w:right w:w="108" w:type="dxa"/>
          </w:tblCellMar>
        </w:tblPrEx>
        <w:trPr>
          <w:trHeight w:val="1078" w:hRule="atLeast"/>
        </w:trPr>
        <w:tc>
          <w:tcPr>
            <w:tcW w:w="13037" w:type="dxa"/>
            <w:gridSpan w:val="6"/>
            <w:vMerge w:val="continue"/>
            <w:tcBorders>
              <w:top w:val="nil"/>
              <w:left w:val="nil"/>
              <w:bottom w:val="nil"/>
              <w:right w:val="nil"/>
            </w:tcBorders>
            <w:vAlign w:val="center"/>
          </w:tcPr>
          <w:p>
            <w:pPr>
              <w:adjustRightInd/>
              <w:snapToGrid/>
              <w:spacing w:after="0"/>
              <w:rPr>
                <w:rFonts w:ascii="宋体" w:hAnsi="宋体" w:eastAsia="宋体" w:cs="宋体"/>
                <w:sz w:val="20"/>
                <w:szCs w:val="20"/>
              </w:rPr>
            </w:pPr>
          </w:p>
        </w:tc>
      </w:tr>
    </w:tbl>
    <w:p>
      <w:pPr>
        <w:spacing w:line="220" w:lineRule="atLeast"/>
      </w:pPr>
      <w:bookmarkStart w:id="0" w:name="_GoBack"/>
      <w:bookmarkEnd w:id="0"/>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AE4511"/>
    <w:rsid w:val="00D31D50"/>
    <w:rsid w:val="00EE33E2"/>
    <w:rsid w:val="19DE20D0"/>
    <w:rsid w:val="1C0E7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119</Words>
  <Characters>680</Characters>
  <Lines>5</Lines>
  <Paragraphs>1</Paragraphs>
  <TotalTime>0</TotalTime>
  <ScaleCrop>false</ScaleCrop>
  <LinksUpToDate>false</LinksUpToDate>
  <CharactersWithSpaces>798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mk</cp:lastModifiedBy>
  <dcterms:modified xsi:type="dcterms:W3CDTF">2018-03-23T13:24:42Z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2052-10.1.0.7224</vt:lpwstr>
  </property>
</Properties>
</file>