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spacing w:line="360" w:lineRule="auto"/>
        <w:jc w:val="center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学生</w:t>
      </w:r>
      <w:r>
        <w:rPr>
          <w:rFonts w:hint="eastAsia" w:ascii="黑体" w:hAnsi="黑体" w:eastAsia="黑体"/>
          <w:sz w:val="28"/>
          <w:szCs w:val="24"/>
          <w:lang w:eastAsia="zh-CN"/>
        </w:rPr>
        <w:t>缴费</w:t>
      </w:r>
      <w:r>
        <w:rPr>
          <w:rFonts w:hint="eastAsia" w:ascii="黑体" w:hAnsi="黑体" w:eastAsia="黑体"/>
          <w:sz w:val="28"/>
          <w:szCs w:val="24"/>
        </w:rPr>
        <w:t>操作步骤</w:t>
      </w:r>
    </w:p>
    <w:p>
      <w:pPr>
        <w:pStyle w:val="8"/>
        <w:spacing w:line="360" w:lineRule="auto"/>
        <w:ind w:left="357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本次学生缴费可以使用两个渠道，覆盖PC端和手机端。</w:t>
      </w:r>
      <w:bookmarkStart w:id="0" w:name="_GoBack"/>
      <w:bookmarkEnd w:id="0"/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PC端：</w:t>
      </w:r>
    </w:p>
    <w:p>
      <w:pPr>
        <w:pStyle w:val="8"/>
        <w:spacing w:line="360" w:lineRule="auto"/>
        <w:ind w:left="357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使用电脑登录西南财经大学缴费平台（</w:t>
      </w:r>
      <w:r>
        <w:rPr>
          <w:rFonts w:ascii="宋体" w:hAnsi="宋体" w:eastAsia="宋体"/>
        </w:rPr>
        <w:t>http://pay.swufe.edu.cn/）进行缴费。</w:t>
      </w:r>
      <w:r>
        <w:rPr>
          <w:rFonts w:hint="eastAsia" w:ascii="宋体" w:hAnsi="宋体" w:eastAsia="宋体"/>
          <w:b/>
          <w:u w:val="single"/>
        </w:rPr>
        <w:t>支持支付宝、微信支付，无任何手续费。</w:t>
      </w:r>
    </w:p>
    <w:p>
      <w:pPr>
        <w:pStyle w:val="8"/>
        <w:numPr>
          <w:ilvl w:val="0"/>
          <w:numId w:val="2"/>
        </w:numPr>
        <w:spacing w:line="360" w:lineRule="auto"/>
        <w:ind w:left="357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使用网页浏览器</w:t>
      </w:r>
      <w:r>
        <w:rPr>
          <w:rFonts w:ascii="宋体" w:hAnsi="宋体" w:eastAsia="宋体"/>
        </w:rPr>
        <w:t>打开西南财经大学缴费平台（http://pay.swufe.edu.cn/）。建议使用Chrome核心的浏览器以保证最好的兼容性，推荐Chrome浏览器、360极速浏览器等。</w:t>
      </w:r>
    </w:p>
    <w:p>
      <w:pPr>
        <w:pStyle w:val="8"/>
        <w:ind w:left="360" w:firstLine="0" w:firstLineChars="0"/>
        <w:rPr>
          <w:rFonts w:hint="eastAsia" w:ascii="宋体" w:hAnsi="宋体" w:eastAsia="宋体"/>
        </w:rPr>
      </w:pPr>
      <w:r>
        <w:rPr>
          <w:sz w:val="24"/>
        </w:rPr>
        <w:drawing>
          <wp:inline distT="0" distB="0" distL="0" distR="0">
            <wp:extent cx="4095750" cy="2922270"/>
            <wp:effectExtent l="0" t="0" r="0" b="0"/>
            <wp:docPr id="17" name="图片 17" descr="C:\Users\马红正\AppData\Local\Temp\14930410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马红正\AppData\Local\Temp\149304104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966" cy="2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输入用户名、密码和验证码，点击“登录”按钮。</w:t>
      </w:r>
      <w:r>
        <w:rPr>
          <w:rFonts w:hint="eastAsia" w:ascii="宋体" w:hAnsi="宋体" w:eastAsia="宋体"/>
          <w:b/>
          <w:u w:val="single"/>
        </w:rPr>
        <w:t>用户名和密码对应于收费名单中的用户名和密码。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>成功登录系统后，将会进入缴费信息界面。当前可以缴纳的费用项在费用项列表中列出</w:t>
      </w:r>
      <w:r>
        <w:rPr>
          <w:rFonts w:hint="eastAsia" w:ascii="宋体" w:hAnsi="宋体" w:eastAsia="宋体"/>
        </w:rPr>
        <w:t>。</w:t>
      </w:r>
    </w:p>
    <w:p>
      <w:pPr>
        <w:pStyle w:val="8"/>
        <w:ind w:left="360" w:firstLine="0" w:firstLineChars="0"/>
        <w:rPr>
          <w:rFonts w:hint="eastAsia" w:ascii="宋体" w:hAnsi="宋体" w:eastAsia="宋体"/>
        </w:rPr>
      </w:pPr>
      <w:r>
        <w:rPr>
          <w:rFonts w:hint="eastAsia"/>
          <w:sz w:val="24"/>
        </w:rPr>
        <w:drawing>
          <wp:inline distT="0" distB="0" distL="0" distR="0">
            <wp:extent cx="5274310" cy="29038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勾选需要缴纳的费用项。此时页面下方将显示本次需要缴纳费用的总金额。</w:t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sz w:val="24"/>
        </w:rPr>
        <w:drawing>
          <wp:inline distT="0" distB="0" distL="0" distR="0">
            <wp:extent cx="5274310" cy="1936750"/>
            <wp:effectExtent l="0" t="0" r="254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>确认无误后，点击“支付”按钮，会弹出信息确认窗口。</w:t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sz w:val="24"/>
        </w:rPr>
        <w:drawing>
          <wp:inline distT="0" distB="0" distL="0" distR="0">
            <wp:extent cx="2552700" cy="2581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点击“是”按钮，进入缴费渠道选择界面。</w:t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目前有两种缴费渠道可供选择：</w:t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>微信支付：已经绑定借记卡或者贷记卡（信用卡）的微信支付用户可以使用本渠道。</w:t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>支付宝：已经绑定借记卡或者贷记卡（信用卡）的支付宝用户可以使用本渠道。</w:t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以微信支付举例：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使用微信支付：选中微信支付渠道，点击下一步，跳转到微信支付界面，如下图：</w:t>
      </w:r>
    </w:p>
    <w:p>
      <w:pPr>
        <w:spacing w:line="360" w:lineRule="auto"/>
        <w:ind w:left="360"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1842770"/>
            <wp:effectExtent l="0" t="0" r="254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打开手机微信，点击界面上的“+”，使用扫一扫功能扫描网页上的二维码。注意：如果出现二维码残缺、显示错误或者手机微信扫一扫无法解码出支付信息，则是浏览器兼容性问题，请更换Chrome核心的浏览器再次尝试。如果一切正常，将在手机上出现支付界面。点击“立即支付”。</w:t>
      </w:r>
    </w:p>
    <w:p>
      <w:pPr>
        <w:spacing w:line="360" w:lineRule="auto"/>
        <w:ind w:left="36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0" distR="0">
            <wp:extent cx="1885950" cy="32473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57" cy="326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支付成功后，缴费平台会跳转至缴费成功界面，此时可以退出缴费平台。若支付失败，可以退回至选择缴费渠道界面，重新选择缴费渠道进行缴费。</w:t>
      </w:r>
    </w:p>
    <w:p>
      <w:pPr>
        <w:pStyle w:val="8"/>
        <w:ind w:left="360" w:firstLine="0" w:firstLineChars="0"/>
        <w:rPr>
          <w:rFonts w:hint="eastAsia" w:ascii="宋体" w:hAnsi="宋体" w:eastAsia="宋体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手机端：</w:t>
      </w:r>
    </w:p>
    <w:p>
      <w:pPr>
        <w:pStyle w:val="8"/>
        <w:ind w:left="360"/>
        <w:rPr>
          <w:rFonts w:ascii="宋体" w:hAnsi="宋体" w:eastAsia="宋体"/>
          <w:b/>
          <w:u w:val="single"/>
        </w:rPr>
      </w:pPr>
      <w:r>
        <w:rPr>
          <w:rFonts w:hint="eastAsia" w:ascii="宋体" w:hAnsi="宋体" w:eastAsia="宋体"/>
        </w:rPr>
        <w:t>使用手机微信在西南财经大学财务处微信公众号进行缴费。</w:t>
      </w:r>
      <w:r>
        <w:rPr>
          <w:rFonts w:hint="eastAsia" w:ascii="宋体" w:hAnsi="宋体" w:eastAsia="宋体"/>
          <w:b/>
          <w:u w:val="single"/>
        </w:rPr>
        <w:t>仅支持微信支付，无任何手续费。</w:t>
      </w:r>
    </w:p>
    <w:p>
      <w:pPr>
        <w:pStyle w:val="8"/>
        <w:numPr>
          <w:ilvl w:val="0"/>
          <w:numId w:val="4"/>
        </w:numPr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手机微信关注西南财经大学财务处微信公众号</w:t>
      </w:r>
    </w:p>
    <w:p>
      <w:pPr>
        <w:ind w:firstLine="315" w:firstLineChars="15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095500" cy="2095500"/>
            <wp:effectExtent l="0" t="0" r="0" b="0"/>
            <wp:docPr id="24" name="图片 24" descr="E:\重要数据暂存\2016年财务网上平台改造\微信公众服务号申请认证\qrcode_for_gh_9fd78144f36b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重要数据暂存\2016年财务网上平台改造\微信公众服务号申请认证\qrcode_for_gh_9fd78144f36b_3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4"/>
        </w:numPr>
        <w:ind w:firstLineChars="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在界面下方的菜单中选择“缴费平台”-“去缴费”</w:t>
      </w:r>
    </w:p>
    <w:p>
      <w:pPr>
        <w:ind w:firstLine="315" w:firstLineChars="150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0" distR="0">
            <wp:extent cx="3505200" cy="2054225"/>
            <wp:effectExtent l="0" t="0" r="0" b="317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336" cy="205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4"/>
        </w:numPr>
        <w:ind w:firstLineChars="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输入用户名、密码登录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b/>
          <w:u w:val="single"/>
        </w:rPr>
        <w:t>用户名和密码对应于收费名单中的用户名和密码。</w:t>
      </w:r>
    </w:p>
    <w:p>
      <w:pPr>
        <w:ind w:firstLine="315" w:firstLineChars="15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305050" cy="311340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033" cy="31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4"/>
        </w:numPr>
        <w:ind w:firstLineChars="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选择费用项进行缴费</w:t>
      </w:r>
    </w:p>
    <w:p>
      <w:pPr>
        <w:ind w:firstLine="735" w:firstLineChars="350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11430</wp:posOffset>
            </wp:positionV>
            <wp:extent cx="1804035" cy="3114675"/>
            <wp:effectExtent l="0" t="0" r="571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</w:rPr>
        <w:drawing>
          <wp:inline distT="0" distB="0" distL="0" distR="0">
            <wp:extent cx="1820545" cy="3143250"/>
            <wp:effectExtent l="0" t="0" r="825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35" cy="314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618053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4988560</wp:posOffset>
          </wp:positionH>
          <wp:positionV relativeFrom="topMargin">
            <wp:posOffset>57150</wp:posOffset>
          </wp:positionV>
          <wp:extent cx="1318260" cy="716915"/>
          <wp:effectExtent l="0" t="0" r="0" b="698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研究生复试网上缴费培训材料（适用于校内相关工作人员）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BA8"/>
    <w:multiLevelType w:val="multilevel"/>
    <w:tmpl w:val="1CD83B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5529F"/>
    <w:multiLevelType w:val="multilevel"/>
    <w:tmpl w:val="1EA5529F"/>
    <w:lvl w:ilvl="0" w:tentative="0">
      <w:start w:val="1"/>
      <w:numFmt w:val="bullet"/>
      <w:lvlText w:val=""/>
      <w:lvlJc w:val="left"/>
      <w:pPr>
        <w:ind w:left="77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9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7" w:hanging="420"/>
      </w:pPr>
      <w:rPr>
        <w:rFonts w:hint="default" w:ascii="Wingdings" w:hAnsi="Wingdings"/>
      </w:rPr>
    </w:lvl>
  </w:abstractNum>
  <w:abstractNum w:abstractNumId="2">
    <w:nsid w:val="3D006E1B"/>
    <w:multiLevelType w:val="multilevel"/>
    <w:tmpl w:val="3D006E1B"/>
    <w:lvl w:ilvl="0" w:tentative="0">
      <w:start w:val="1"/>
      <w:numFmt w:val="upperLetter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1271467"/>
    <w:multiLevelType w:val="multilevel"/>
    <w:tmpl w:val="51271467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6"/>
    <w:rsid w:val="00016CA6"/>
    <w:rsid w:val="00120C12"/>
    <w:rsid w:val="0019009E"/>
    <w:rsid w:val="001D0B54"/>
    <w:rsid w:val="002C122B"/>
    <w:rsid w:val="003440C9"/>
    <w:rsid w:val="004001F0"/>
    <w:rsid w:val="00463378"/>
    <w:rsid w:val="004B195F"/>
    <w:rsid w:val="004F4877"/>
    <w:rsid w:val="005F2229"/>
    <w:rsid w:val="006223E6"/>
    <w:rsid w:val="00696F79"/>
    <w:rsid w:val="00731427"/>
    <w:rsid w:val="00872E4E"/>
    <w:rsid w:val="00893311"/>
    <w:rsid w:val="00894F55"/>
    <w:rsid w:val="008C36E3"/>
    <w:rsid w:val="008F67CE"/>
    <w:rsid w:val="00993BE5"/>
    <w:rsid w:val="009C03C7"/>
    <w:rsid w:val="009D513D"/>
    <w:rsid w:val="009E25C9"/>
    <w:rsid w:val="00A328A6"/>
    <w:rsid w:val="00AC02EA"/>
    <w:rsid w:val="00AF5433"/>
    <w:rsid w:val="00B34C4E"/>
    <w:rsid w:val="00C12BF0"/>
    <w:rsid w:val="00D122C2"/>
    <w:rsid w:val="00D406B0"/>
    <w:rsid w:val="00D46BA7"/>
    <w:rsid w:val="00D778B6"/>
    <w:rsid w:val="00D86EFD"/>
    <w:rsid w:val="00D959AF"/>
    <w:rsid w:val="00DE7522"/>
    <w:rsid w:val="00E707A7"/>
    <w:rsid w:val="00E855D3"/>
    <w:rsid w:val="00E942EC"/>
    <w:rsid w:val="00F32FA3"/>
    <w:rsid w:val="00F63CDC"/>
    <w:rsid w:val="352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2FB99-B89F-41BA-B08C-3DBF987F9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西南财经大学财务处</Company>
  <Pages>11</Pages>
  <Words>545</Words>
  <Characters>3110</Characters>
  <Lines>25</Lines>
  <Paragraphs>7</Paragraphs>
  <TotalTime>0</TotalTime>
  <ScaleCrop>false</ScaleCrop>
  <LinksUpToDate>false</LinksUpToDate>
  <CharactersWithSpaces>3648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2018-03-21T02:35:00Z</dcterms:created>
  <dc:creator>Mack Ma</dc:creator>
  <cp:lastModifiedBy>阿列夫零ℵ0</cp:lastModifiedBy>
  <cp:lastPrinted>2018-03-22T04:54:15Z</cp:lastPrinted>
  <dcterms:modified xsi:type="dcterms:W3CDTF">2018-03-22T04:59:54Z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