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ascii="宋体" w:hAnsi="宋体" w:cs="微软雅黑"/>
          <w:spacing w:val="46"/>
          <w:sz w:val="32"/>
          <w:szCs w:val="32"/>
        </w:rPr>
      </w:pPr>
      <w:r>
        <w:rPr>
          <w:rFonts w:hint="eastAsia" w:ascii="宋体" w:hAnsi="宋体" w:cs="微软雅黑"/>
          <w:spacing w:val="46"/>
          <w:sz w:val="32"/>
          <w:szCs w:val="32"/>
        </w:rPr>
        <w:t>大连海洋大学2020年硕士研究生考试大纲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填报单位：</w:t>
      </w:r>
      <w:r>
        <w:rPr>
          <w:rFonts w:hint="eastAsia" w:ascii="宋体" w:hAnsi="宋体"/>
          <w:sz w:val="28"/>
          <w:szCs w:val="28"/>
          <w:u w:val="single"/>
        </w:rPr>
        <w:t xml:space="preserve"> 海洋法律与人文  </w:t>
      </w:r>
      <w:r>
        <w:rPr>
          <w:rFonts w:hint="eastAsia" w:ascii="宋体" w:hAnsi="宋体"/>
          <w:sz w:val="28"/>
          <w:szCs w:val="28"/>
        </w:rPr>
        <w:t xml:space="preserve">学院  </w:t>
      </w:r>
    </w:p>
    <w:tbl>
      <w:tblPr>
        <w:tblStyle w:val="2"/>
        <w:tblpPr w:leftFromText="180" w:rightFromText="180" w:vertAnchor="text" w:horzAnchor="page" w:tblpX="1661" w:tblpY="34"/>
        <w:tblOverlap w:val="never"/>
        <w:tblW w:w="9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8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07" w:type="dxa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考试科目</w:t>
            </w:r>
          </w:p>
        </w:tc>
        <w:tc>
          <w:tcPr>
            <w:tcW w:w="8006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kern w:val="2"/>
                <w:sz w:val="30"/>
                <w:szCs w:val="22"/>
              </w:rPr>
            </w:pPr>
            <w:bookmarkStart w:id="0" w:name="_GoBack"/>
            <w:r>
              <w:rPr>
                <w:rFonts w:hint="eastAsia" w:asciiTheme="minorHAnsi" w:hAnsiTheme="minorHAnsi" w:eastAsiaTheme="minorEastAsia" w:cstheme="minorBidi"/>
                <w:b/>
                <w:kern w:val="2"/>
                <w:sz w:val="30"/>
                <w:szCs w:val="22"/>
                <w:lang w:val="en-US" w:eastAsia="zh-CN"/>
              </w:rPr>
              <w:t>815</w:t>
            </w:r>
            <w:r>
              <w:rPr>
                <w:rFonts w:hint="eastAsia" w:asciiTheme="minorHAnsi" w:hAnsiTheme="minorHAnsi" w:eastAsiaTheme="minorEastAsia" w:cstheme="minorBidi"/>
                <w:b/>
                <w:kern w:val="2"/>
                <w:sz w:val="30"/>
                <w:szCs w:val="22"/>
              </w:rPr>
              <w:t>法学专业综合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考试大纲</w:t>
            </w:r>
          </w:p>
        </w:tc>
        <w:tc>
          <w:tcPr>
            <w:tcW w:w="8006" w:type="dxa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kern w:val="2"/>
                <w:sz w:val="30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2"/>
                <w:sz w:val="30"/>
                <w:szCs w:val="22"/>
              </w:rPr>
              <w:t>一、民 法</w:t>
            </w:r>
          </w:p>
          <w:p>
            <w:pPr>
              <w:adjustRightInd/>
              <w:spacing w:line="360" w:lineRule="auto"/>
              <w:ind w:firstLine="482" w:firstLineChars="200"/>
              <w:textAlignment w:val="auto"/>
              <w:rPr>
                <w:rFonts w:asciiTheme="minorHAnsi" w:hAnsiTheme="minorHAnsi" w:eastAsiaTheme="minorEastAsia" w:cstheme="minorBidi"/>
                <w:kern w:val="2"/>
                <w:sz w:val="28"/>
                <w:szCs w:val="22"/>
              </w:rPr>
            </w:pPr>
            <w:r>
              <w:rPr>
                <w:rFonts w:hint="eastAsia" w:ascii="宋体" w:hAnsi="宋体" w:cstheme="minorBidi"/>
                <w:b/>
                <w:kern w:val="2"/>
                <w:sz w:val="24"/>
                <w:szCs w:val="24"/>
              </w:rPr>
              <w:t>推荐参考书籍：《民法学》王利明主编，法律出版社2</w:t>
            </w:r>
            <w:r>
              <w:rPr>
                <w:rFonts w:ascii="宋体" w:hAnsi="宋体" w:cstheme="minorBidi"/>
                <w:b/>
                <w:kern w:val="2"/>
                <w:sz w:val="24"/>
                <w:szCs w:val="24"/>
              </w:rPr>
              <w:t>018</w:t>
            </w:r>
            <w:r>
              <w:rPr>
                <w:rFonts w:hint="eastAsia" w:ascii="宋体" w:hAnsi="宋体" w:cstheme="minorBidi"/>
                <w:b/>
                <w:kern w:val="2"/>
                <w:sz w:val="24"/>
                <w:szCs w:val="24"/>
              </w:rPr>
              <w:t>年版。</w:t>
            </w:r>
          </w:p>
          <w:p>
            <w:pPr>
              <w:adjustRightInd/>
              <w:spacing w:line="360" w:lineRule="auto"/>
              <w:jc w:val="center"/>
              <w:textAlignment w:val="auto"/>
              <w:outlineLvl w:val="0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第一编民法总论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第一章 民法概述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第一节民法的概念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>第二节我国民法的调整对象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>第三节民法的特点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第四节民法与邻近法律部门的区别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第五节民法的体系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第六节民法的渊源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第七节民法的适用范围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第八节我国民法的历史发展 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第二章 民法的基本原则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第一节民法基本原则概述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第二节平等原则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第三节意思自治原则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第四节公平原则 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第五节诚实信用原则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第六节公序良俗原则 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第三章 民事法律关系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第一节民事法律关系概述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第二节民事法律关系的要素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第三节民事法律事实 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第四章 自然人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第一节自然人的民事权利能力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第二节自然人的民事行为能力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第三节自然人的民事责任能力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第四节监护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第五节自然人的姓名、住所、户籍和身份证 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第六节宣告失踪和宣告死亡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第七节个体工商户与农村承包经营户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第五章 合伙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第六章 法人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第一节法人制度概述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第二节法人的成立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第三节法人的民事能力73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第四节法人的机关及法人分支机构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第五节法人的变更和终止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第七章 民事权利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第一节民事权利的概念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第二节民事权利的分类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第三节民事权利的行使和保护 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第八章 物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第一节物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第二节货币和有价证券 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第九章 民事行为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第一节概说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第二节民事行为的分类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第三节民事行为的成立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第四节意思表示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第五节民事行为的生效条件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第六节效力存在欠缺的民事行为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第七节附条件与附期限的民事行为 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第十章 代理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第一节概述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第二节代理权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第三节无权代理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第四节代理关系的消灭 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第十一章 期限与诉讼时效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第一节诉讼时效概述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第二节诉讼时效期间的中断、中止和延长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第三节诉讼时效期间届满的效果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第四节期间与期日 </w:t>
            </w:r>
          </w:p>
          <w:p>
            <w:pPr>
              <w:adjustRightInd/>
              <w:spacing w:line="360" w:lineRule="auto"/>
              <w:jc w:val="center"/>
              <w:textAlignment w:val="auto"/>
              <w:outlineLvl w:val="0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第二编物权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第十二章 物权概述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第一节物权的概念和特征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第二节物权的分类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第三节物权法的基本原则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第四节物权的保护 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第十三章 物权变动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第一节不动产物权变动模式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第二节动产物权的变动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第三节非基于法律行为的物权变动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第四节不动产登记制度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第十四章 所有权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第一节所有权的概念和特征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第二节所有权的权能 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第三节所有权的取得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第四节所有权的行使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第五节所有权的消灭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第六节所有权的种类 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第十五章 业主的建筑物区分所有权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第一节业主的建筑物区分所有权的概念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第二节专有权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第三节共有权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第四节管理权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第五节业主大会和业主委员会 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第十六章 相邻关系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第一节相邻关系的概念和特征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第二节相邻关系的种类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第三节处理相邻关系的原则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第十七章 共有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第一节共有的概念和特征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第二节按份共有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第三节共同共有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第四节因共有财产而产生的共同债务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第五节准共有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第六节共有财产的分割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第十八章 用益物权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第一节用益物权概述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第二节土地承包经营权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第三节建设用地使用权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第四节宅基地使用权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第五节地役权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第十九章 担保物权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第一节担保物权总论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第二节抵押权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第三节质权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第四节留置权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第二十章 占有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第一节占有概述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第二节占有的分类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第三节占有的取得、变更与消灭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第四节占有的效力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第五节占有的保护  </w:t>
            </w:r>
          </w:p>
          <w:p>
            <w:pPr>
              <w:adjustRightInd/>
              <w:spacing w:line="360" w:lineRule="auto"/>
              <w:jc w:val="center"/>
              <w:textAlignment w:val="auto"/>
              <w:outlineLvl w:val="0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第三编债权总论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第二十一章 债的概述  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第一节债的概念和特征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第二节债的要素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第三节债的发生原因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第四节债的分类  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第二十二章 债的履行 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第一节债的履行概述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第二节债的适当履行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第三节双务合同履行中的抗辩权 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第二十三章 债的保全和担保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第一节债的保全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第二节债的担保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第二十四章 债的移转和消灭 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第一节债的移转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第二节债的消灭 </w:t>
            </w:r>
          </w:p>
          <w:p>
            <w:pPr>
              <w:adjustRightInd/>
              <w:spacing w:line="360" w:lineRule="auto"/>
              <w:jc w:val="center"/>
              <w:textAlignment w:val="auto"/>
              <w:outlineLvl w:val="0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第四编债权分论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第二十五章 合同概述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第一节合同的概念和特征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第二节合同与债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第三节合同关系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第四节合同的分类 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第二十六章 合同的订立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第一节合同成立的概念和要件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第二节要约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第三节承诺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第二十七章 合同的内容与形式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第一节合同的条款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第二节合同权利与合同义务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第三节合同的形式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第二十八章 合同的变更和解除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第一节合同的变更 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第二节合同解除概述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第三节合同解除的条件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第四节合同解除的程序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第五节合同解除的效力 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第二十九章 合同分则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第一节买卖合同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第二节供用电、水、气、热力合同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第三节赠与合同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第四节借款合同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第五节租赁合同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第六节融资租赁合同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第七节承揽合同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第八节建设工程合同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第九节运输合同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第十节技术合同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第十一节保管合同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第十二节仓储合同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第十三节委托合同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第十四节行纪合同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第十五节居间合同 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第三十章 不当得利之债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第一节不当得利制度概述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第二节不当得利的效力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第三十一章 无因管理之债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第一节无因管理的概念和性质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第二节无因管理的构成要件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第三节无因管理的效力 </w:t>
            </w:r>
          </w:p>
          <w:p>
            <w:pPr>
              <w:adjustRightInd/>
              <w:spacing w:line="360" w:lineRule="auto"/>
              <w:jc w:val="center"/>
              <w:textAlignment w:val="auto"/>
              <w:outlineLvl w:val="0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第五编人身权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第三十二章 人身权概述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第一节人身权的概念和特征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第二节确立人身权法律制度的意义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第三节人身权的分类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第三十三章 具体人格权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第一节身体权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第二节生命权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第三节健康权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第四节自由权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第五节隐私权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第六节姓名权和名称权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第七节肖像权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第八节名誉权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第九节荣誉权 </w:t>
            </w:r>
          </w:p>
          <w:p>
            <w:pPr>
              <w:adjustRightInd/>
              <w:spacing w:line="360" w:lineRule="auto"/>
              <w:jc w:val="center"/>
              <w:textAlignment w:val="auto"/>
              <w:outlineLvl w:val="0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第六编继承权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第三十四章 继承权概述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第一节继承权的概念和特征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第二节我国继承制度的性质和基本原则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第三节继承权的保护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第三十五章 法定继承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第一节法定继承及其适用范围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第二节法定继承人的范围和顺序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第三节代位继承和转继承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第四节法定应继份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第三十六章 遗嘱继承、遗赠和遗赠扶养协议537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第一节遗嘱继承和遗嘱自由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第二节遗嘱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第三节遗嘱的变更、撤销和执行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第四节遗赠 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第五节遗赠扶养协议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第三十七章 继承程序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第一节继承的开始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第二节遗产的界定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第三节继承权的接受、放弃和丧失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第四节遗产管理、分割和债务清偿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第五节无人继承又无人受遗赠的遗产的处理 </w:t>
            </w:r>
          </w:p>
          <w:p>
            <w:pPr>
              <w:adjustRightInd/>
              <w:spacing w:line="360" w:lineRule="auto"/>
              <w:jc w:val="center"/>
              <w:textAlignment w:val="auto"/>
              <w:outlineLvl w:val="0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第七编民事责任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第三十八章 民事责任概述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第一节民事责任的概念和特征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第二节民事责任与其他法律责任的区别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第三节民事责任的分类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第三十九章 缔约过失责任与违约责任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第一节缔约过失责任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第二节违约责任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第四十章 侵权责任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第一节侵权责任概述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第二节侵权损害赔偿责任的构成要件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第三节侵权损害赔偿责任的归责原则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第四节免责事由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第五节特殊主体的侵权责任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第六节特殊侵权责任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第七节共同侵权行为 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asciiTheme="minorHAnsi" w:hAnsiTheme="minorHAnsi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asciiTheme="minorHAnsi" w:hAnsiTheme="minorHAnsi" w:cstheme="minorBidi"/>
                <w:kern w:val="2"/>
                <w:sz w:val="28"/>
                <w:szCs w:val="22"/>
              </w:rPr>
              <w:t xml:space="preserve">第四十一章 民事责任的承担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第一节民事责任竞合概述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第二节侵权损害赔偿责任与违约损害赔偿责任的竞合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第三节承担民事责任的方式 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asciiTheme="minorHAnsi" w:hAnsiTheme="minorHAnsi" w:cstheme="minorBidi"/>
                <w:kern w:val="2"/>
                <w:sz w:val="24"/>
                <w:szCs w:val="22"/>
              </w:rPr>
            </w:pPr>
            <w:r>
              <w:rPr>
                <w:rFonts w:hint="eastAsia" w:asciiTheme="minorHAnsi" w:hAnsiTheme="minorHAnsi" w:cstheme="minorBidi"/>
                <w:kern w:val="2"/>
                <w:sz w:val="24"/>
                <w:szCs w:val="22"/>
              </w:rPr>
              <w:t xml:space="preserve">第四节承担民事责任的方式的适用 </w:t>
            </w: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eastAsiaTheme="minorEastAsia" w:cstheme="minorBidi"/>
                <w:kern w:val="2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Cs w:val="22"/>
              </w:rPr>
              <w:br w:type="page"/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kern w:val="2"/>
                <w:sz w:val="30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2"/>
                <w:sz w:val="30"/>
                <w:szCs w:val="22"/>
              </w:rPr>
              <w:t>二、刑 法</w:t>
            </w:r>
          </w:p>
          <w:p>
            <w:pPr>
              <w:adjustRightInd/>
              <w:spacing w:line="360" w:lineRule="auto"/>
              <w:ind w:firstLine="482" w:firstLineChars="200"/>
              <w:textAlignment w:val="auto"/>
              <w:rPr>
                <w:rFonts w:ascii="宋体" w:hAnsi="宋体" w:cstheme="minorBidi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cstheme="minorBidi"/>
                <w:b/>
                <w:kern w:val="2"/>
                <w:sz w:val="24"/>
                <w:szCs w:val="24"/>
              </w:rPr>
              <w:t>推荐参考书籍：《刑法学》高铭暄、马克昌主编，北京大学出版社2</w:t>
            </w:r>
            <w:r>
              <w:rPr>
                <w:rFonts w:ascii="宋体" w:hAnsi="宋体" w:cstheme="minorBidi"/>
                <w:b/>
                <w:kern w:val="2"/>
                <w:sz w:val="24"/>
                <w:szCs w:val="24"/>
              </w:rPr>
              <w:t>017</w:t>
            </w:r>
            <w:r>
              <w:rPr>
                <w:rFonts w:hint="eastAsia" w:ascii="宋体" w:hAnsi="宋体" w:cstheme="minorBidi"/>
                <w:b/>
                <w:kern w:val="2"/>
                <w:sz w:val="24"/>
                <w:szCs w:val="24"/>
              </w:rPr>
              <w:t>年版</w:t>
            </w:r>
          </w:p>
          <w:p>
            <w:pPr>
              <w:adjustRightInd/>
              <w:spacing w:line="360" w:lineRule="auto"/>
              <w:jc w:val="center"/>
              <w:textAlignment w:val="auto"/>
              <w:outlineLvl w:val="0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上编  刑法总论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第一章 刑法概说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第一节 刑法的概念和性质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第二节 刑法的制定和修改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第三节 刑法的根据和任务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第四节 刑法的体系和解释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第二章 刑法的基本原则</w:t>
            </w:r>
          </w:p>
          <w:p>
            <w:pPr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第一节 刑法的基本原则概述</w:t>
            </w:r>
          </w:p>
          <w:p>
            <w:pPr>
              <w:adjustRightInd/>
              <w:spacing w:line="360" w:lineRule="auto"/>
              <w:jc w:val="left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第二节 罪刑法定原则</w:t>
            </w:r>
          </w:p>
          <w:p>
            <w:pPr>
              <w:adjustRightInd/>
              <w:spacing w:line="360" w:lineRule="auto"/>
              <w:jc w:val="left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第三节 适用刑法人人平等原则</w:t>
            </w:r>
          </w:p>
          <w:p>
            <w:pPr>
              <w:adjustRightInd/>
              <w:spacing w:line="360" w:lineRule="auto"/>
              <w:jc w:val="left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第四节 罪责刑相适应原则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第三章 刑法的效力范围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第一节 刑法的空间效力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第二节 刑法的时间效力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第四章 犯罪概念与犯罪构成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第一节 犯罪概念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第二节 犯罪构成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第五章 犯罪客体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犯罪客体概述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第二节 犯罪客体的分类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第三节 犯罪客体与犯罪对象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第六章 犯罪客观方面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犯罪客观方面概述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危害行为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危害结果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第四节 危害行为与危害结果之间的因果关系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第五节 犯罪的其他客观要件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第七章 犯罪主体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犯罪主体概述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刑事责任能力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与刑事责任能力有关的因素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第四节 犯罪主体的特殊身份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第五节 单位犯罪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第八章 犯罪主观方面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第一节 犯罪主观方面概述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第二节 犯罪故意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第三节 犯罪过失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第四节 与罪过相关的几个特殊问题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第五节 犯罪目的和犯罪动机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第九章 正当行为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第一节 正当行为概述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正当防卫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紧急避险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第四节 其他正当行为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第十章 故意犯罪的停止形态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第一节 故意犯罪停止形态概述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犯罪既遂形态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犯罪预备形态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第四节 犯罪未遂形态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第五节 犯罪中止形态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第十一章 共同犯罪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共同犯罪概述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共同犯罪的形式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共同犯罪人的刑事责任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第十二章 罪数形态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罪数判断标准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一罪的类型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数罪的类型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第十三章 刑事责任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刑事责任概述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刑事责任的根据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刑事责任的解决方式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第十四章 刑罚概述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第一节 刑罚的概念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刑罚的功能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刑罚的目的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第十五章 刑罚的体系和种类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刑罚的体系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主刑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附加刑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第四节 非刑罚处理方法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第十六章 刑罚的裁量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刑罚裁量概述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刑罚裁量原则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刑罚裁量情节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第十七章 刑罚裁量制度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累犯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自首、坦白与立功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数罪并罚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第四节 缓刑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第十八章 刑罚执行制度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第一节 减刑</w:t>
            </w:r>
          </w:p>
          <w:p>
            <w:pPr>
              <w:adjustRightInd/>
              <w:spacing w:line="360" w:lineRule="auto"/>
              <w:ind w:firstLine="480" w:firstLineChars="2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第二节 假释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第十九章 刑罚的消灭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刑罚消灭概述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时效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赦免</w:t>
            </w:r>
          </w:p>
          <w:p>
            <w:pPr>
              <w:adjustRightInd/>
              <w:spacing w:line="360" w:lineRule="auto"/>
              <w:jc w:val="center"/>
              <w:textAlignment w:val="auto"/>
              <w:outlineLvl w:val="0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下编  刑法各论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第二十章 刑法各论概述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刑法各论与刑法总论的关系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刑法分则的体系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具体犯罪条文的构成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第二十一章 危害国家安全罪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危害国家安全罪概述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第二节 危害国家安全罪分述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第二十二章 危害公共安全罪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第一节 危害公共安全罪概述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第二节 危害公共安全罪分述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第二十三章 破坏社会主义市场经济秩序罪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第一节 破坏社会主义市场经济秩序罪概述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第二节 生产、销售伪劣商品罪</w:t>
            </w:r>
          </w:p>
          <w:p>
            <w:pPr>
              <w:adjustRightInd/>
              <w:spacing w:line="360" w:lineRule="auto"/>
              <w:ind w:firstLine="360" w:firstLineChars="15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第三节 走私罪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第四节 妨害对公司、企业的管理秩序罪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第五节 破坏金融管理秩序罪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第六节 金融诈骗罪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第七节 危害税收征管罪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第八节 侵犯知识产权罪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第九节 扰乱市场秩序罪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第二十四章 侵犯公民人身权利、民主权利罪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侵犯公民人身权利、民主权利罪概述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侵犯公民人身权利、民主权利罪分述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第二十五章 侵犯财产罪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侵犯财产罪概述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侵犯财产罪分述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第二十六章 妨害社会管理秩序罪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妨害社会管理秩序罪概述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扰乱公共秩序罪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第三节 妨害司法罪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第四节 妨害国（边）境管理罪 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第五节 妨害文物管理罪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第六节 危害公共卫生罪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第七节 破坏环境资源保护罪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第八节 走私、贩卖、运输、制造毒品罪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第九节 组织、强迫、引诱、容留、介绍卖淫罪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第十节 制作、贩卖、传播淫秽物品罪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第二十七章 危害国防利益罪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第一节 危害国防利益罪概述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第二节 危害国防利益罪分述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第二十八章 贪污贿赂罪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贪污贿赂罪概述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  第二节 贪污贿赂罪分述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第二十九章 渎职罪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渎职罪概述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第二节 渎职罪分述</w:t>
            </w:r>
          </w:p>
          <w:p>
            <w:pPr>
              <w:adjustRightInd/>
              <w:spacing w:line="360" w:lineRule="auto"/>
              <w:textAlignment w:val="auto"/>
              <w:outlineLvl w:val="1"/>
              <w:rPr>
                <w:rFonts w:eastAsia="黑体" w:cstheme="minorBidi"/>
                <w:kern w:val="2"/>
                <w:sz w:val="28"/>
                <w:szCs w:val="22"/>
              </w:rPr>
            </w:pPr>
            <w:r>
              <w:rPr>
                <w:rFonts w:hint="eastAsia" w:eastAsia="黑体" w:cstheme="minorBidi"/>
                <w:kern w:val="2"/>
                <w:sz w:val="28"/>
                <w:szCs w:val="22"/>
              </w:rPr>
              <w:t>第三十章 军人违反职责罪</w:t>
            </w:r>
          </w:p>
          <w:p>
            <w:pPr>
              <w:adjustRightInd/>
              <w:spacing w:line="360" w:lineRule="auto"/>
              <w:textAlignment w:val="auto"/>
              <w:rPr>
                <w:rFonts w:cstheme="minorBidi"/>
                <w:kern w:val="2"/>
                <w:sz w:val="24"/>
                <w:szCs w:val="22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 xml:space="preserve">  第一节 军人违反职责罪概述</w:t>
            </w:r>
          </w:p>
          <w:p>
            <w:pPr>
              <w:adjustRightInd/>
              <w:spacing w:line="360" w:lineRule="auto"/>
              <w:ind w:firstLine="240" w:firstLineChars="100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cstheme="minorBidi"/>
                <w:kern w:val="2"/>
                <w:sz w:val="24"/>
                <w:szCs w:val="22"/>
              </w:rPr>
              <w:t>第二节 军人违反职责罪分述</w:t>
            </w:r>
          </w:p>
        </w:tc>
      </w:tr>
    </w:tbl>
    <w:p>
      <w:pPr>
        <w:widowControl/>
        <w:adjustRightInd/>
        <w:spacing w:line="240" w:lineRule="auto"/>
        <w:jc w:val="left"/>
        <w:textAlignment w:val="auto"/>
        <w:rPr>
          <w:rFonts w:ascii="宋体" w:hAnsi="宋体"/>
          <w:b/>
          <w:bCs/>
          <w:spacing w:val="46"/>
          <w:sz w:val="24"/>
        </w:rPr>
      </w:pPr>
      <w:r>
        <w:rPr>
          <w:rFonts w:ascii="宋体" w:hAnsi="宋体"/>
          <w:b/>
          <w:bCs/>
          <w:spacing w:val="46"/>
          <w:sz w:val="24"/>
        </w:rPr>
        <w:br w:type="page"/>
      </w:r>
    </w:p>
    <w:p>
      <w:pPr>
        <w:widowControl/>
        <w:adjustRightInd/>
        <w:spacing w:line="240" w:lineRule="auto"/>
        <w:jc w:val="left"/>
        <w:textAlignment w:val="auto"/>
        <w:rPr>
          <w:rFonts w:ascii="宋体" w:hAnsi="宋体"/>
          <w:b/>
          <w:bCs/>
          <w:spacing w:val="46"/>
          <w:sz w:val="24"/>
        </w:rPr>
      </w:pPr>
    </w:p>
    <w:p/>
    <w:sectPr>
      <w:pgSz w:w="11906" w:h="16838"/>
      <w:pgMar w:top="873" w:right="1803" w:bottom="873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B0816"/>
    <w:rsid w:val="2B7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2019-09-09T08:31:00Z</dcterms:created>
  <dc:creator>天意1386732766</dc:creator>
  <cp:lastModifiedBy>天意1386732766</cp:lastModifiedBy>
  <dcterms:modified xsi:type="dcterms:W3CDTF">2019-09-09T08:36:05Z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