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A9" w:rsidRPr="00B27CA9" w:rsidRDefault="0012147A" w:rsidP="00B27CA9">
      <w:pPr>
        <w:widowControl/>
        <w:shd w:val="clear" w:color="auto" w:fill="FFFFFF"/>
        <w:spacing w:line="299" w:lineRule="atLeast"/>
        <w:jc w:val="center"/>
        <w:rPr>
          <w:rFonts w:ascii="Verdana" w:eastAsia="宋体" w:hAnsi="Verdana" w:cs="宋体"/>
          <w:b/>
          <w:color w:val="4D4D4D"/>
          <w:kern w:val="0"/>
          <w:sz w:val="28"/>
          <w:szCs w:val="28"/>
        </w:rPr>
      </w:pPr>
      <w:r>
        <w:rPr>
          <w:rFonts w:ascii="Verdana" w:eastAsia="宋体" w:hAnsi="Verdana" w:cs="宋体" w:hint="eastAsia"/>
          <w:b/>
          <w:color w:val="4D4D4D"/>
          <w:kern w:val="0"/>
          <w:sz w:val="28"/>
          <w:szCs w:val="28"/>
        </w:rPr>
        <w:t>2020</w:t>
      </w:r>
      <w:bookmarkStart w:id="0" w:name="_GoBack"/>
      <w:bookmarkEnd w:id="0"/>
      <w:r w:rsidR="00B27CA9" w:rsidRPr="00B27CA9">
        <w:rPr>
          <w:rFonts w:ascii="Verdana" w:eastAsia="宋体" w:hAnsi="Verdana" w:cs="宋体" w:hint="eastAsia"/>
          <w:b/>
          <w:color w:val="4D4D4D"/>
          <w:kern w:val="0"/>
          <w:sz w:val="28"/>
          <w:szCs w:val="28"/>
        </w:rPr>
        <w:t>年国际商务专业硕士考试大纲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第一部分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 xml:space="preserve"> 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国际贸易理论与政策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国际贸易理论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绝对优势与比较优势论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要素禀赋论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贸易保护理论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国际贸易新理论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国际贸易政策与壁垒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关税措施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非关税措施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国际贸易摩擦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国际贸易中的知识产权保护与环境保护政策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货物贸易与服务贸易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货物贸易及其类型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服务贸易与服务外包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技术贸易与国际劳务合作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 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国际贸易的创新方式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区域经济一体化与多边贸易体制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经济全球化与世界贸易组织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欧洲一体化实践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其他区域自由贸易安排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中国的区域经济合作实践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16"/>
          <w:szCs w:val="16"/>
        </w:rPr>
        <w:t> 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第二部分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 xml:space="preserve">  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国际直接投资与跨国公司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国际直接投资与跨国公司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国际直接投资与跨国公司理论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水平与垂直型对外直接投资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跨国公司发展及其主要类型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中国式跨国公司的理论与实践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企业对外直接投资的战略决策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对外直接投资的选址决策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对外直接投资的时机决策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对外直接投资进入模式决策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对外直接投资的母国与东道国效应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对外直接投资与母国利益和代价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对外直接投资与东道国效应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对外直接投资中的政府行为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国际企业与政府的议价能力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16"/>
          <w:szCs w:val="16"/>
        </w:rPr>
        <w:t> 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第三部分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 xml:space="preserve">   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国际金融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国际货币体系与汇率制度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金本位制度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布雷顿森林体系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lastRenderedPageBreak/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浮动汇率制度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国际货币体系及其改革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第五节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人民币汇率改革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 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外汇市场、外汇业务与风险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外汇市场与外汇业务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汇率决定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外汇风险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国际金融市场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国际金融市场概述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 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货币市场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债券市场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股权市场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 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国际金融危机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 90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年代以来的国际金融危机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国际金融危机背景下的商务环境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 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国际金融创新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国际金融体系改革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16"/>
          <w:szCs w:val="16"/>
        </w:rPr>
        <w:t> 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第四部分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 xml:space="preserve">   </w:t>
      </w:r>
      <w:r w:rsidRPr="00B27CA9">
        <w:rPr>
          <w:rFonts w:ascii="Verdana" w:eastAsia="宋体" w:hAnsi="Verdana" w:cs="宋体"/>
          <w:b/>
          <w:bCs/>
          <w:color w:val="4D4D4D"/>
          <w:kern w:val="0"/>
          <w:sz w:val="20"/>
          <w:szCs w:val="20"/>
        </w:rPr>
        <w:t>国际商务环境与运营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16"/>
          <w:szCs w:val="16"/>
        </w:rPr>
        <w:t> 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国际商务环境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国际商务文化环境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政治、法律和商业伦理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国际营销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目标市场选择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营销管理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第三章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国际物流与供应链管理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国际物流定义与问题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国际物流与供应链管理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第四章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国际会计与税收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第一节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 xml:space="preserve">        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跨国间主要会计差异</w:t>
      </w:r>
    </w:p>
    <w:p w:rsidR="00B27CA9" w:rsidRPr="00B27CA9" w:rsidRDefault="00B27CA9" w:rsidP="00B27CA9">
      <w:pPr>
        <w:widowControl/>
        <w:shd w:val="clear" w:color="auto" w:fill="FFFFFF"/>
        <w:spacing w:line="299" w:lineRule="atLeast"/>
        <w:jc w:val="left"/>
        <w:rPr>
          <w:rFonts w:ascii="Verdana" w:eastAsia="宋体" w:hAnsi="Verdana" w:cs="宋体"/>
          <w:color w:val="4D4D4D"/>
          <w:kern w:val="0"/>
          <w:sz w:val="16"/>
          <w:szCs w:val="16"/>
        </w:rPr>
      </w:pP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第二节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        </w:t>
      </w:r>
      <w:r w:rsidRPr="00B27CA9">
        <w:rPr>
          <w:rFonts w:ascii="Verdana" w:eastAsia="宋体" w:hAnsi="Verdana" w:cs="宋体"/>
          <w:color w:val="4D4D4D"/>
          <w:kern w:val="0"/>
          <w:sz w:val="20"/>
          <w:szCs w:val="20"/>
        </w:rPr>
        <w:t>国际税收</w:t>
      </w:r>
    </w:p>
    <w:p w:rsidR="00EF2066" w:rsidRDefault="00EF2066"/>
    <w:sectPr w:rsidR="00EF2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9F" w:rsidRDefault="00C5679F" w:rsidP="00B27CA9">
      <w:r>
        <w:separator/>
      </w:r>
    </w:p>
  </w:endnote>
  <w:endnote w:type="continuationSeparator" w:id="0">
    <w:p w:rsidR="00C5679F" w:rsidRDefault="00C5679F" w:rsidP="00B2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9F" w:rsidRDefault="00C5679F" w:rsidP="00B27CA9">
      <w:r>
        <w:separator/>
      </w:r>
    </w:p>
  </w:footnote>
  <w:footnote w:type="continuationSeparator" w:id="0">
    <w:p w:rsidR="00C5679F" w:rsidRDefault="00C5679F" w:rsidP="00B2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A9"/>
    <w:rsid w:val="000B02DB"/>
    <w:rsid w:val="0012147A"/>
    <w:rsid w:val="005F2D28"/>
    <w:rsid w:val="006E388F"/>
    <w:rsid w:val="00724277"/>
    <w:rsid w:val="00B27CA9"/>
    <w:rsid w:val="00B422D3"/>
    <w:rsid w:val="00C5679F"/>
    <w:rsid w:val="00D0259D"/>
    <w:rsid w:val="00EF2066"/>
    <w:rsid w:val="00F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CACAE-B6AD-4D9F-858A-D2842418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C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C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1248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8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3</cp:revision>
  <dcterms:created xsi:type="dcterms:W3CDTF">2019-10-14T06:37:00Z</dcterms:created>
  <dcterms:modified xsi:type="dcterms:W3CDTF">2019-10-14T06:43:00Z</dcterms:modified>
</cp:coreProperties>
</file>